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4C8" w:rsidRDefault="00EF34C8" w:rsidP="000F34FC">
      <w:pPr>
        <w:pStyle w:val="ParaAttribute8"/>
        <w:tabs>
          <w:tab w:val="center" w:pos="4252"/>
          <w:tab w:val="left" w:pos="7318"/>
        </w:tabs>
        <w:wordWrap/>
        <w:spacing w:before="0" w:after="0"/>
        <w:ind w:firstLine="540"/>
        <w:rPr>
          <w:rFonts w:asciiTheme="majorBidi" w:hAnsiTheme="majorBidi" w:cstheme="majorBidi"/>
          <w:b/>
          <w:lang w:eastAsia="en-US"/>
        </w:rPr>
      </w:pPr>
      <w:r w:rsidRPr="00EF34C8">
        <w:rPr>
          <w:rFonts w:asciiTheme="majorBidi" w:eastAsia="Times New Roman" w:hAnsiTheme="majorBidi" w:cstheme="majorBidi"/>
          <w:b/>
          <w:bCs/>
          <w:lang w:eastAsia="ar-SA"/>
        </w:rPr>
        <w:t xml:space="preserve">Comparative study between laparoscopic sleeve </w:t>
      </w:r>
      <w:proofErr w:type="spellStart"/>
      <w:r w:rsidRPr="00EF34C8">
        <w:rPr>
          <w:rFonts w:asciiTheme="majorBidi" w:eastAsia="Times New Roman" w:hAnsiTheme="majorBidi" w:cstheme="majorBidi"/>
          <w:b/>
          <w:bCs/>
          <w:lang w:eastAsia="ar-SA"/>
        </w:rPr>
        <w:t>gastrectomy</w:t>
      </w:r>
      <w:proofErr w:type="spellEnd"/>
      <w:r w:rsidRPr="00EF34C8">
        <w:rPr>
          <w:rFonts w:asciiTheme="majorBidi" w:eastAsia="Times New Roman" w:hAnsiTheme="majorBidi" w:cstheme="majorBidi"/>
          <w:b/>
          <w:bCs/>
          <w:lang w:eastAsia="ar-SA"/>
        </w:rPr>
        <w:t xml:space="preserve"> and single </w:t>
      </w:r>
      <w:proofErr w:type="spellStart"/>
      <w:r w:rsidRPr="00EF34C8">
        <w:rPr>
          <w:rFonts w:asciiTheme="majorBidi" w:eastAsia="Times New Roman" w:hAnsiTheme="majorBidi" w:cstheme="majorBidi"/>
          <w:b/>
          <w:bCs/>
          <w:lang w:eastAsia="ar-SA"/>
        </w:rPr>
        <w:t>anastmosis</w:t>
      </w:r>
      <w:proofErr w:type="spellEnd"/>
      <w:r w:rsidRPr="00EF34C8">
        <w:rPr>
          <w:rFonts w:asciiTheme="majorBidi" w:eastAsia="Times New Roman" w:hAnsiTheme="majorBidi" w:cstheme="majorBidi"/>
          <w:b/>
          <w:bCs/>
          <w:lang w:eastAsia="ar-SA"/>
        </w:rPr>
        <w:t xml:space="preserve"> sleeve </w:t>
      </w:r>
      <w:proofErr w:type="spellStart"/>
      <w:r w:rsidRPr="00EF34C8">
        <w:rPr>
          <w:rFonts w:asciiTheme="majorBidi" w:eastAsia="Times New Roman" w:hAnsiTheme="majorBidi" w:cstheme="majorBidi"/>
          <w:b/>
          <w:bCs/>
          <w:lang w:eastAsia="ar-SA"/>
        </w:rPr>
        <w:t>ileal</w:t>
      </w:r>
      <w:proofErr w:type="spellEnd"/>
      <w:r w:rsidRPr="00EF34C8">
        <w:rPr>
          <w:rFonts w:asciiTheme="majorBidi" w:eastAsia="Times New Roman" w:hAnsiTheme="majorBidi" w:cstheme="majorBidi"/>
          <w:b/>
          <w:bCs/>
          <w:lang w:eastAsia="ar-SA"/>
        </w:rPr>
        <w:t xml:space="preserve"> bypass in management of morbid obese patients</w:t>
      </w:r>
    </w:p>
    <w:p w:rsidR="002D0F05" w:rsidRPr="00BC4CB8" w:rsidRDefault="002D0F05" w:rsidP="00E47047">
      <w:pPr>
        <w:pStyle w:val="a4"/>
        <w:tabs>
          <w:tab w:val="left" w:pos="660"/>
        </w:tabs>
        <w:rPr>
          <w:rFonts w:asciiTheme="majorBidi" w:hAnsiTheme="majorBidi" w:cstheme="majorBidi"/>
          <w:sz w:val="20"/>
          <w:szCs w:val="20"/>
        </w:rPr>
      </w:pPr>
      <w:r w:rsidRPr="00BC4CB8">
        <w:rPr>
          <w:rFonts w:asciiTheme="majorBidi" w:eastAsia="Batang" w:hAnsiTheme="majorBidi" w:cstheme="majorBidi"/>
          <w:bCs w:val="0"/>
          <w:sz w:val="20"/>
          <w:szCs w:val="20"/>
          <w:vertAlign w:val="superscript"/>
          <w:lang w:eastAsia="en-US"/>
        </w:rPr>
        <w:t>1</w:t>
      </w:r>
      <w:r w:rsidRPr="00BC4CB8">
        <w:rPr>
          <w:rFonts w:asciiTheme="majorBidi" w:eastAsia="Batang" w:hAnsiTheme="majorBidi" w:cstheme="majorBidi"/>
          <w:bCs w:val="0"/>
          <w:sz w:val="20"/>
          <w:szCs w:val="20"/>
          <w:lang w:eastAsia="en-US"/>
        </w:rPr>
        <w:t>G.E.Saleh,</w:t>
      </w:r>
      <w:r w:rsidR="00E47047">
        <w:rPr>
          <w:rFonts w:asciiTheme="majorBidi" w:eastAsia="Batang" w:hAnsiTheme="majorBidi" w:cstheme="majorBidi"/>
          <w:bCs w:val="0"/>
          <w:sz w:val="20"/>
          <w:szCs w:val="20"/>
          <w:vertAlign w:val="superscript"/>
          <w:lang w:eastAsia="en-US"/>
        </w:rPr>
        <w:t>1</w:t>
      </w:r>
      <w:r w:rsidRPr="00BC4CB8">
        <w:rPr>
          <w:rFonts w:asciiTheme="majorBidi" w:eastAsia="Batang" w:hAnsiTheme="majorBidi" w:cstheme="majorBidi"/>
          <w:bCs w:val="0"/>
          <w:sz w:val="20"/>
          <w:szCs w:val="20"/>
          <w:lang w:eastAsia="en-US"/>
        </w:rPr>
        <w:t xml:space="preserve">A.K.Allam , </w:t>
      </w:r>
      <w:r w:rsidRPr="00BC4CB8">
        <w:rPr>
          <w:rFonts w:asciiTheme="majorBidi" w:eastAsia="Batang" w:hAnsiTheme="majorBidi" w:cstheme="majorBidi"/>
          <w:bCs w:val="0"/>
          <w:sz w:val="20"/>
          <w:szCs w:val="20"/>
          <w:vertAlign w:val="superscript"/>
          <w:lang w:eastAsia="en-US"/>
        </w:rPr>
        <w:t>1</w:t>
      </w:r>
      <w:r w:rsidRPr="00BC4CB8">
        <w:rPr>
          <w:rFonts w:asciiTheme="majorBidi" w:eastAsia="Batang" w:hAnsiTheme="majorBidi" w:cstheme="majorBidi"/>
          <w:bCs w:val="0"/>
          <w:sz w:val="20"/>
          <w:szCs w:val="20"/>
          <w:lang w:eastAsia="en-US"/>
        </w:rPr>
        <w:t>M.E.Abd El-</w:t>
      </w:r>
      <w:proofErr w:type="spellStart"/>
      <w:r w:rsidRPr="00BC4CB8">
        <w:rPr>
          <w:rFonts w:asciiTheme="majorBidi" w:eastAsia="Batang" w:hAnsiTheme="majorBidi" w:cstheme="majorBidi"/>
          <w:bCs w:val="0"/>
          <w:sz w:val="20"/>
          <w:szCs w:val="20"/>
          <w:lang w:eastAsia="en-US"/>
        </w:rPr>
        <w:t>latef</w:t>
      </w:r>
      <w:proofErr w:type="spellEnd"/>
      <w:r w:rsidRPr="00BC4CB8">
        <w:rPr>
          <w:rFonts w:asciiTheme="majorBidi" w:eastAsia="Batang" w:hAnsiTheme="majorBidi" w:cstheme="majorBidi"/>
          <w:bCs w:val="0"/>
          <w:sz w:val="20"/>
          <w:szCs w:val="20"/>
          <w:lang w:eastAsia="en-US"/>
        </w:rPr>
        <w:t xml:space="preserve">, </w:t>
      </w:r>
      <w:r w:rsidRPr="00BC4CB8">
        <w:rPr>
          <w:rFonts w:asciiTheme="majorBidi" w:eastAsia="Batang" w:hAnsiTheme="majorBidi" w:cstheme="majorBidi"/>
          <w:bCs w:val="0"/>
          <w:sz w:val="20"/>
          <w:szCs w:val="20"/>
          <w:vertAlign w:val="superscript"/>
          <w:lang w:eastAsia="en-US"/>
        </w:rPr>
        <w:t>1</w:t>
      </w:r>
      <w:r w:rsidRPr="00BC4CB8">
        <w:rPr>
          <w:rFonts w:asciiTheme="majorBidi" w:eastAsia="Batang" w:hAnsiTheme="majorBidi" w:cstheme="majorBidi"/>
          <w:bCs w:val="0"/>
          <w:sz w:val="20"/>
          <w:szCs w:val="20"/>
          <w:lang w:eastAsia="en-US"/>
        </w:rPr>
        <w:t>M.M.Shebl</w:t>
      </w:r>
      <w:r w:rsidR="00E47047" w:rsidRPr="00E47047">
        <w:rPr>
          <w:rFonts w:asciiTheme="majorBidi" w:hAnsiTheme="majorBidi" w:cstheme="majorBidi"/>
          <w:sz w:val="20"/>
          <w:szCs w:val="20"/>
          <w:vertAlign w:val="superscript"/>
        </w:rPr>
        <w:t>1</w:t>
      </w:r>
    </w:p>
    <w:p w:rsidR="002D0F05" w:rsidRPr="00BC4CB8" w:rsidRDefault="002D0F05" w:rsidP="002D0F05">
      <w:pPr>
        <w:pStyle w:val="a4"/>
        <w:tabs>
          <w:tab w:val="left" w:pos="660"/>
        </w:tabs>
        <w:rPr>
          <w:rFonts w:asciiTheme="majorBidi" w:hAnsiTheme="majorBidi" w:cstheme="majorBidi"/>
          <w:b w:val="0"/>
          <w:bCs w:val="0"/>
          <w:sz w:val="20"/>
          <w:szCs w:val="20"/>
        </w:rPr>
      </w:pPr>
      <w:r w:rsidRPr="00BC4CB8">
        <w:rPr>
          <w:rFonts w:eastAsia="Calibri"/>
          <w:b w:val="0"/>
          <w:bCs w:val="0"/>
          <w:sz w:val="20"/>
          <w:szCs w:val="20"/>
          <w:vertAlign w:val="superscript"/>
        </w:rPr>
        <w:t>1</w:t>
      </w:r>
      <w:r w:rsidRPr="00BC4CB8">
        <w:rPr>
          <w:rFonts w:eastAsia="Calibri"/>
          <w:b w:val="0"/>
          <w:bCs w:val="0"/>
          <w:sz w:val="20"/>
          <w:szCs w:val="20"/>
        </w:rPr>
        <w:t xml:space="preserve">General Surgery, </w:t>
      </w:r>
      <w:proofErr w:type="spellStart"/>
      <w:r w:rsidRPr="00BC4CB8">
        <w:rPr>
          <w:rFonts w:eastAsia="Calibri"/>
          <w:b w:val="0"/>
          <w:bCs w:val="0"/>
          <w:sz w:val="20"/>
          <w:szCs w:val="20"/>
        </w:rPr>
        <w:t>Dept.,Faculty</w:t>
      </w:r>
      <w:proofErr w:type="spellEnd"/>
      <w:r w:rsidRPr="00BC4CB8">
        <w:rPr>
          <w:rFonts w:eastAsia="Calibri"/>
          <w:b w:val="0"/>
          <w:bCs w:val="0"/>
          <w:sz w:val="20"/>
          <w:szCs w:val="20"/>
        </w:rPr>
        <w:t xml:space="preserve"> of Medicine, </w:t>
      </w:r>
      <w:proofErr w:type="spellStart"/>
      <w:r w:rsidRPr="00BC4CB8">
        <w:rPr>
          <w:rFonts w:eastAsia="Calibri"/>
          <w:b w:val="0"/>
          <w:bCs w:val="0"/>
          <w:sz w:val="20"/>
          <w:szCs w:val="20"/>
        </w:rPr>
        <w:t>Benha</w:t>
      </w:r>
      <w:proofErr w:type="spellEnd"/>
      <w:r w:rsidRPr="00BC4CB8">
        <w:rPr>
          <w:rFonts w:eastAsia="Calibri"/>
          <w:b w:val="0"/>
          <w:bCs w:val="0"/>
          <w:sz w:val="20"/>
          <w:szCs w:val="20"/>
        </w:rPr>
        <w:t xml:space="preserve"> Univ., </w:t>
      </w:r>
      <w:proofErr w:type="spellStart"/>
      <w:r w:rsidRPr="00BC4CB8">
        <w:rPr>
          <w:rFonts w:eastAsia="Calibri"/>
          <w:b w:val="0"/>
          <w:bCs w:val="0"/>
          <w:sz w:val="20"/>
          <w:szCs w:val="20"/>
        </w:rPr>
        <w:t>Benha</w:t>
      </w:r>
      <w:proofErr w:type="spellEnd"/>
      <w:r w:rsidRPr="00BC4CB8">
        <w:rPr>
          <w:rFonts w:eastAsia="Calibri"/>
          <w:b w:val="0"/>
          <w:bCs w:val="0"/>
          <w:sz w:val="20"/>
          <w:szCs w:val="20"/>
        </w:rPr>
        <w:t>, Egypt</w:t>
      </w:r>
    </w:p>
    <w:p w:rsidR="000F34FC" w:rsidRPr="005254AB" w:rsidRDefault="000F34FC" w:rsidP="000F34FC">
      <w:pPr>
        <w:pStyle w:val="a4"/>
        <w:tabs>
          <w:tab w:val="left" w:pos="660"/>
        </w:tabs>
        <w:jc w:val="both"/>
        <w:rPr>
          <w:rFonts w:asciiTheme="majorBidi" w:hAnsiTheme="majorBidi" w:cstheme="majorBidi"/>
          <w:sz w:val="20"/>
          <w:szCs w:val="20"/>
        </w:rPr>
      </w:pPr>
      <w:r w:rsidRPr="005254AB">
        <w:rPr>
          <w:rFonts w:asciiTheme="majorBidi" w:hAnsiTheme="majorBidi" w:cstheme="majorBidi"/>
          <w:sz w:val="20"/>
          <w:szCs w:val="20"/>
        </w:rPr>
        <w:t>Abstract</w:t>
      </w:r>
    </w:p>
    <w:p w:rsidR="000F34FC" w:rsidRPr="00AA4455" w:rsidRDefault="000F34FC" w:rsidP="00AA4455">
      <w:pPr>
        <w:bidi w:val="0"/>
        <w:spacing w:after="0" w:line="240" w:lineRule="auto"/>
        <w:ind w:firstLine="540"/>
        <w:jc w:val="both"/>
        <w:rPr>
          <w:rFonts w:asciiTheme="majorBidi" w:hAnsiTheme="majorBidi" w:cstheme="majorBidi"/>
          <w:sz w:val="20"/>
          <w:szCs w:val="20"/>
        </w:rPr>
      </w:pPr>
      <w:r w:rsidRPr="005254AB">
        <w:rPr>
          <w:rFonts w:asciiTheme="majorBidi" w:hAnsiTheme="majorBidi" w:cstheme="majorBidi"/>
          <w:b/>
          <w:bCs/>
          <w:sz w:val="20"/>
          <w:szCs w:val="20"/>
        </w:rPr>
        <w:t>Background:</w:t>
      </w:r>
      <w:r w:rsidRPr="005254AB">
        <w:rPr>
          <w:rFonts w:asciiTheme="majorBidi" w:hAnsiTheme="majorBidi" w:cstheme="majorBidi"/>
          <w:iCs/>
          <w:sz w:val="20"/>
          <w:szCs w:val="20"/>
        </w:rPr>
        <w:t xml:space="preserve"> </w:t>
      </w:r>
      <w:r w:rsidRPr="005254AB">
        <w:rPr>
          <w:rFonts w:asciiTheme="majorBidi" w:hAnsiTheme="majorBidi" w:cstheme="majorBidi"/>
          <w:iCs/>
          <w:sz w:val="20"/>
          <w:szCs w:val="20"/>
          <w:lang w:bidi="en-US"/>
        </w:rPr>
        <w:t>The frequency of obesity and overweight continues to increase significantly and has become one of the most important health problems of the century</w:t>
      </w:r>
      <w:r w:rsidRPr="005254AB">
        <w:rPr>
          <w:rFonts w:asciiTheme="majorBidi" w:hAnsiTheme="majorBidi" w:cstheme="majorBidi"/>
          <w:b/>
          <w:bCs/>
          <w:iCs/>
          <w:sz w:val="20"/>
          <w:szCs w:val="20"/>
          <w:lang w:bidi="en-US"/>
        </w:rPr>
        <w:t>.</w:t>
      </w:r>
      <w:r w:rsidRPr="005254AB">
        <w:rPr>
          <w:rFonts w:asciiTheme="majorBidi" w:hAnsiTheme="majorBidi" w:cstheme="majorBidi"/>
          <w:iCs/>
          <w:sz w:val="20"/>
          <w:szCs w:val="20"/>
        </w:rPr>
        <w:t xml:space="preserve"> </w:t>
      </w:r>
      <w:r w:rsidRPr="005254AB">
        <w:rPr>
          <w:rFonts w:asciiTheme="majorBidi" w:hAnsiTheme="majorBidi" w:cstheme="majorBidi"/>
          <w:iCs/>
          <w:sz w:val="20"/>
          <w:szCs w:val="20"/>
          <w:lang w:bidi="en-US"/>
        </w:rPr>
        <w:t>Bariatric surgery has been recognized as the most effective treatment of morbid obesity as compared to medical and conservative treatments</w:t>
      </w:r>
      <w:r w:rsidRPr="005254AB">
        <w:rPr>
          <w:rFonts w:asciiTheme="majorBidi" w:hAnsiTheme="majorBidi" w:cstheme="majorBidi"/>
          <w:iCs/>
          <w:sz w:val="20"/>
          <w:szCs w:val="20"/>
        </w:rPr>
        <w:t>.</w:t>
      </w:r>
      <w:r w:rsidRPr="005254AB">
        <w:rPr>
          <w:rFonts w:asciiTheme="majorBidi" w:hAnsiTheme="majorBidi" w:cstheme="majorBidi"/>
          <w:sz w:val="20"/>
          <w:szCs w:val="20"/>
        </w:rPr>
        <w:t xml:space="preserve"> </w:t>
      </w:r>
      <w:r w:rsidRPr="005254AB">
        <w:rPr>
          <w:rFonts w:asciiTheme="majorBidi" w:hAnsiTheme="majorBidi" w:cstheme="majorBidi"/>
          <w:iCs/>
          <w:sz w:val="20"/>
          <w:szCs w:val="20"/>
        </w:rPr>
        <w:t xml:space="preserve">The main aim of this study was to compare the outcome of SASI bypass with that of SG in regards weight loss duration, maintenance, failure, cost, time of operation, learning curve and postoperative complications, improvement in comorbidities at 12 months of follow-up. </w:t>
      </w:r>
      <w:r w:rsidRPr="005254AB">
        <w:rPr>
          <w:rFonts w:asciiTheme="majorBidi" w:hAnsiTheme="majorBidi" w:cstheme="majorBidi"/>
          <w:b/>
          <w:bCs/>
          <w:sz w:val="20"/>
          <w:szCs w:val="20"/>
        </w:rPr>
        <w:t xml:space="preserve">Methods: </w:t>
      </w:r>
      <w:r w:rsidRPr="005254AB">
        <w:rPr>
          <w:rFonts w:asciiTheme="majorBidi" w:hAnsiTheme="majorBidi" w:cstheme="majorBidi"/>
          <w:sz w:val="20"/>
          <w:szCs w:val="20"/>
        </w:rPr>
        <w:t xml:space="preserve">This prospective randomized clinical study was conducted in General Surgery Department of </w:t>
      </w:r>
      <w:proofErr w:type="spellStart"/>
      <w:r w:rsidRPr="005254AB">
        <w:rPr>
          <w:rFonts w:asciiTheme="majorBidi" w:hAnsiTheme="majorBidi" w:cstheme="majorBidi"/>
          <w:sz w:val="20"/>
          <w:szCs w:val="20"/>
        </w:rPr>
        <w:t>Benha</w:t>
      </w:r>
      <w:proofErr w:type="spellEnd"/>
      <w:r w:rsidRPr="005254AB">
        <w:rPr>
          <w:rFonts w:asciiTheme="majorBidi" w:hAnsiTheme="majorBidi" w:cstheme="majorBidi"/>
          <w:sz w:val="20"/>
          <w:szCs w:val="20"/>
        </w:rPr>
        <w:t xml:space="preserve"> University Hospital. A total of 40 morbid obese non-sweet eaters’ patients will randomly divided into two equal groups, group I a number of 20 patients will undergo laparoscopic SG and group II of 20 patients will undergo laparoscopic SASI. The study duration of the study ranged from 6-12 months.</w:t>
      </w:r>
      <w:r w:rsidRPr="005254AB">
        <w:rPr>
          <w:rFonts w:asciiTheme="majorBidi" w:hAnsiTheme="majorBidi" w:cstheme="majorBidi"/>
          <w:b/>
          <w:bCs/>
          <w:sz w:val="20"/>
          <w:szCs w:val="20"/>
        </w:rPr>
        <w:t xml:space="preserve"> </w:t>
      </w:r>
      <w:r w:rsidRPr="005254AB">
        <w:rPr>
          <w:rFonts w:asciiTheme="majorBidi" w:hAnsiTheme="majorBidi" w:cstheme="majorBidi"/>
          <w:b/>
          <w:bCs/>
          <w:sz w:val="20"/>
          <w:szCs w:val="20"/>
          <w:lang w:val="en-GB"/>
        </w:rPr>
        <w:t>Results:</w:t>
      </w:r>
      <w:r w:rsidRPr="005254AB">
        <w:rPr>
          <w:rFonts w:asciiTheme="majorBidi" w:hAnsiTheme="majorBidi" w:cstheme="majorBidi"/>
          <w:sz w:val="20"/>
          <w:szCs w:val="20"/>
          <w:lang w:val="en-GB"/>
        </w:rPr>
        <w:t xml:space="preserve"> </w:t>
      </w:r>
      <w:r w:rsidR="00AA4455" w:rsidRPr="00AA4455">
        <w:rPr>
          <w:rFonts w:asciiTheme="majorBidi" w:hAnsiTheme="majorBidi" w:cstheme="majorBidi"/>
          <w:sz w:val="20"/>
          <w:szCs w:val="20"/>
        </w:rPr>
        <w:t xml:space="preserve">In the current study, there is no significant difference between the two studied groups regarding 3 months postoperative laboratory parameters. There is a significant difference between the two studied groups regarding TG, LDL, FBS, and HbA1c 6-months postoperative. </w:t>
      </w:r>
      <w:r w:rsidR="00DD1C1D" w:rsidRPr="00AA4455">
        <w:rPr>
          <w:rFonts w:asciiTheme="majorBidi" w:hAnsiTheme="majorBidi" w:cstheme="majorBidi"/>
          <w:sz w:val="20"/>
          <w:szCs w:val="20"/>
        </w:rPr>
        <w:t>There</w:t>
      </w:r>
      <w:r w:rsidR="00AA4455" w:rsidRPr="00AA4455">
        <w:rPr>
          <w:rFonts w:asciiTheme="majorBidi" w:hAnsiTheme="majorBidi" w:cstheme="majorBidi"/>
          <w:sz w:val="20"/>
          <w:szCs w:val="20"/>
        </w:rPr>
        <w:t xml:space="preserve"> is a significant difference between the two studied groups as regard TC, TG, LDL, HDL, FBS, and HbA1c 12-months postoperative. </w:t>
      </w:r>
      <w:r w:rsidR="00DD1C1D" w:rsidRPr="00AA4455">
        <w:rPr>
          <w:rFonts w:asciiTheme="majorBidi" w:hAnsiTheme="majorBidi" w:cstheme="majorBidi"/>
          <w:sz w:val="20"/>
          <w:szCs w:val="20"/>
        </w:rPr>
        <w:t>There</w:t>
      </w:r>
      <w:r w:rsidR="00AA4455" w:rsidRPr="00AA4455">
        <w:rPr>
          <w:rFonts w:asciiTheme="majorBidi" w:hAnsiTheme="majorBidi" w:cstheme="majorBidi"/>
          <w:sz w:val="20"/>
          <w:szCs w:val="20"/>
        </w:rPr>
        <w:t xml:space="preserve"> a significant decrease from preoperative to 12 months postoperative regarding BMI in both groups. There is no significant difference between the two studied groups regarding early complications. There is no significant difference between the two studied groups regarding late complications.</w:t>
      </w:r>
      <w:r w:rsidR="00AA4455">
        <w:rPr>
          <w:rFonts w:asciiTheme="majorBidi" w:hAnsiTheme="majorBidi" w:cstheme="majorBidi"/>
          <w:sz w:val="20"/>
          <w:szCs w:val="20"/>
        </w:rPr>
        <w:t xml:space="preserve"> </w:t>
      </w:r>
      <w:r w:rsidRPr="005254AB">
        <w:rPr>
          <w:rFonts w:asciiTheme="majorBidi" w:hAnsiTheme="majorBidi" w:cstheme="majorBidi"/>
          <w:b/>
          <w:sz w:val="20"/>
          <w:szCs w:val="20"/>
        </w:rPr>
        <w:t>Conclusion:</w:t>
      </w:r>
      <w:r w:rsidRPr="005254AB">
        <w:rPr>
          <w:rFonts w:asciiTheme="majorBidi" w:hAnsiTheme="majorBidi" w:cstheme="majorBidi"/>
          <w:sz w:val="20"/>
          <w:szCs w:val="20"/>
          <w:lang w:bidi="en-US"/>
        </w:rPr>
        <w:t xml:space="preserve"> </w:t>
      </w:r>
      <w:r w:rsidR="00FC4E75" w:rsidRPr="00FC4E75">
        <w:rPr>
          <w:rFonts w:asciiTheme="majorBidi" w:hAnsiTheme="majorBidi" w:cstheme="majorBidi"/>
          <w:sz w:val="20"/>
          <w:szCs w:val="20"/>
          <w:lang w:bidi="en-US"/>
        </w:rPr>
        <w:t>Both SASI and LSG procedures were safe and effective in the treatment of morbid obese. Both procedures resulted in significant improvement in BMI, lipid and glycemic profiles. SASI procedure results in better outcome as regard the improvement in both lipid and glycemic profiles, but it was comparable with LSG as regard operative data and rate of early and late complications. Further comparative studies with larger sample size and longer follow-up are needed to confirm our results and to identify</w:t>
      </w:r>
      <w:r w:rsidR="00FC4E75">
        <w:rPr>
          <w:rFonts w:asciiTheme="majorBidi" w:hAnsiTheme="majorBidi" w:cstheme="majorBidi"/>
          <w:sz w:val="20"/>
          <w:szCs w:val="20"/>
          <w:lang w:bidi="en-US"/>
        </w:rPr>
        <w:t xml:space="preserve"> risk factors of adverse events</w:t>
      </w:r>
      <w:r w:rsidRPr="005254AB">
        <w:rPr>
          <w:rFonts w:asciiTheme="majorBidi" w:hAnsiTheme="majorBidi" w:cstheme="majorBidi"/>
          <w:sz w:val="20"/>
          <w:szCs w:val="20"/>
          <w:lang w:bidi="en-US"/>
        </w:rPr>
        <w:t>.</w:t>
      </w:r>
    </w:p>
    <w:p w:rsidR="000F34FC" w:rsidRPr="005254AB" w:rsidRDefault="000F34FC" w:rsidP="000F34FC">
      <w:pPr>
        <w:pStyle w:val="a4"/>
        <w:tabs>
          <w:tab w:val="left" w:pos="840"/>
        </w:tabs>
        <w:jc w:val="both"/>
        <w:rPr>
          <w:rFonts w:asciiTheme="majorBidi" w:hAnsiTheme="majorBidi" w:cstheme="majorBidi"/>
          <w:sz w:val="20"/>
          <w:szCs w:val="20"/>
        </w:rPr>
      </w:pPr>
      <w:r w:rsidRPr="005254AB">
        <w:rPr>
          <w:rFonts w:asciiTheme="majorBidi" w:hAnsiTheme="majorBidi" w:cstheme="majorBidi"/>
          <w:sz w:val="20"/>
          <w:szCs w:val="20"/>
        </w:rPr>
        <w:t xml:space="preserve">Key words: </w:t>
      </w:r>
      <w:r w:rsidRPr="005254AB">
        <w:rPr>
          <w:rFonts w:asciiTheme="majorBidi" w:hAnsiTheme="majorBidi" w:cstheme="majorBidi"/>
          <w:b w:val="0"/>
          <w:bCs w:val="0"/>
          <w:sz w:val="20"/>
          <w:szCs w:val="20"/>
        </w:rPr>
        <w:t xml:space="preserve">laparoscopic sleeve </w:t>
      </w:r>
      <w:proofErr w:type="spellStart"/>
      <w:r w:rsidRPr="005254AB">
        <w:rPr>
          <w:rFonts w:asciiTheme="majorBidi" w:hAnsiTheme="majorBidi" w:cstheme="majorBidi"/>
          <w:b w:val="0"/>
          <w:bCs w:val="0"/>
          <w:sz w:val="20"/>
          <w:szCs w:val="20"/>
        </w:rPr>
        <w:t>gastrectomy</w:t>
      </w:r>
      <w:proofErr w:type="spellEnd"/>
      <w:r w:rsidRPr="005254AB">
        <w:rPr>
          <w:rFonts w:asciiTheme="majorBidi" w:hAnsiTheme="majorBidi" w:cstheme="majorBidi"/>
          <w:b w:val="0"/>
          <w:bCs w:val="0"/>
          <w:sz w:val="20"/>
          <w:szCs w:val="20"/>
        </w:rPr>
        <w:t xml:space="preserve"> </w:t>
      </w:r>
      <w:r w:rsidRPr="005254AB">
        <w:rPr>
          <w:rFonts w:asciiTheme="majorBidi" w:hAnsiTheme="majorBidi" w:cstheme="majorBidi"/>
          <w:sz w:val="20"/>
          <w:szCs w:val="20"/>
        </w:rPr>
        <w:t xml:space="preserve">- </w:t>
      </w:r>
      <w:r w:rsidRPr="005254AB">
        <w:rPr>
          <w:rFonts w:asciiTheme="majorBidi" w:hAnsiTheme="majorBidi" w:cstheme="majorBidi"/>
          <w:b w:val="0"/>
          <w:bCs w:val="0"/>
          <w:sz w:val="20"/>
          <w:szCs w:val="20"/>
        </w:rPr>
        <w:t xml:space="preserve">single </w:t>
      </w:r>
      <w:proofErr w:type="spellStart"/>
      <w:r w:rsidRPr="005254AB">
        <w:rPr>
          <w:rFonts w:asciiTheme="majorBidi" w:hAnsiTheme="majorBidi" w:cstheme="majorBidi"/>
          <w:b w:val="0"/>
          <w:bCs w:val="0"/>
          <w:sz w:val="20"/>
          <w:szCs w:val="20"/>
        </w:rPr>
        <w:t>anastmosis</w:t>
      </w:r>
      <w:proofErr w:type="spellEnd"/>
      <w:r w:rsidRPr="005254AB">
        <w:rPr>
          <w:rFonts w:asciiTheme="majorBidi" w:hAnsiTheme="majorBidi" w:cstheme="majorBidi"/>
          <w:b w:val="0"/>
          <w:bCs w:val="0"/>
          <w:sz w:val="20"/>
          <w:szCs w:val="20"/>
        </w:rPr>
        <w:t xml:space="preserve"> sleeve </w:t>
      </w:r>
      <w:proofErr w:type="spellStart"/>
      <w:r w:rsidRPr="005254AB">
        <w:rPr>
          <w:rFonts w:asciiTheme="majorBidi" w:hAnsiTheme="majorBidi" w:cstheme="majorBidi"/>
          <w:b w:val="0"/>
          <w:bCs w:val="0"/>
          <w:sz w:val="20"/>
          <w:szCs w:val="20"/>
        </w:rPr>
        <w:t>ileal</w:t>
      </w:r>
      <w:proofErr w:type="spellEnd"/>
      <w:r w:rsidRPr="005254AB">
        <w:rPr>
          <w:rFonts w:asciiTheme="majorBidi" w:hAnsiTheme="majorBidi" w:cstheme="majorBidi"/>
          <w:b w:val="0"/>
          <w:bCs w:val="0"/>
          <w:sz w:val="20"/>
          <w:szCs w:val="20"/>
        </w:rPr>
        <w:t xml:space="preserve"> bypass </w:t>
      </w:r>
      <w:r w:rsidRPr="005254AB">
        <w:rPr>
          <w:rFonts w:asciiTheme="majorBidi" w:hAnsiTheme="majorBidi" w:cstheme="majorBidi"/>
          <w:sz w:val="20"/>
          <w:szCs w:val="20"/>
        </w:rPr>
        <w:t xml:space="preserve">- </w:t>
      </w:r>
      <w:r w:rsidRPr="005254AB">
        <w:rPr>
          <w:rFonts w:asciiTheme="majorBidi" w:hAnsiTheme="majorBidi" w:cstheme="majorBidi"/>
          <w:b w:val="0"/>
          <w:bCs w:val="0"/>
          <w:sz w:val="20"/>
          <w:szCs w:val="20"/>
        </w:rPr>
        <w:t>SASI - morbid obese patients</w:t>
      </w:r>
    </w:p>
    <w:p w:rsidR="005254AB" w:rsidRDefault="005254AB" w:rsidP="000F34FC">
      <w:pPr>
        <w:bidi w:val="0"/>
        <w:spacing w:after="0" w:line="240" w:lineRule="auto"/>
        <w:jc w:val="both"/>
        <w:rPr>
          <w:rFonts w:asciiTheme="majorBidi" w:hAnsiTheme="majorBidi" w:cstheme="majorBidi"/>
          <w:b/>
          <w:sz w:val="20"/>
          <w:szCs w:val="20"/>
        </w:rPr>
        <w:sectPr w:rsidR="005254AB" w:rsidSect="000F34FC">
          <w:headerReference w:type="default" r:id="rId9"/>
          <w:footerReference w:type="default" r:id="rId10"/>
          <w:type w:val="continuous"/>
          <w:pgSz w:w="11906" w:h="16838" w:code="9"/>
          <w:pgMar w:top="1440" w:right="1800" w:bottom="1440" w:left="1800" w:header="706" w:footer="706" w:gutter="0"/>
          <w:cols w:space="720"/>
        </w:sectPr>
      </w:pPr>
    </w:p>
    <w:p w:rsidR="003A74B4" w:rsidRPr="005254AB" w:rsidRDefault="000F34FC" w:rsidP="000F34FC">
      <w:pPr>
        <w:bidi w:val="0"/>
        <w:spacing w:after="0" w:line="240" w:lineRule="auto"/>
        <w:jc w:val="both"/>
        <w:rPr>
          <w:rFonts w:asciiTheme="majorBidi" w:hAnsiTheme="majorBidi" w:cstheme="majorBidi"/>
          <w:sz w:val="20"/>
          <w:szCs w:val="20"/>
        </w:rPr>
      </w:pPr>
      <w:r w:rsidRPr="005254AB">
        <w:rPr>
          <w:rFonts w:asciiTheme="majorBidi" w:hAnsiTheme="majorBidi" w:cstheme="majorBidi"/>
          <w:b/>
          <w:sz w:val="20"/>
          <w:szCs w:val="20"/>
        </w:rPr>
        <w:lastRenderedPageBreak/>
        <w:t>1.</w:t>
      </w:r>
      <w:r w:rsidR="005C6C25" w:rsidRPr="005254AB">
        <w:rPr>
          <w:rFonts w:asciiTheme="majorBidi" w:hAnsiTheme="majorBidi" w:cstheme="majorBidi"/>
          <w:b/>
          <w:sz w:val="20"/>
          <w:szCs w:val="20"/>
        </w:rPr>
        <w:t>Introduction</w:t>
      </w:r>
      <w:r w:rsidR="005C6C25" w:rsidRPr="005254AB">
        <w:rPr>
          <w:rFonts w:asciiTheme="majorBidi" w:hAnsiTheme="majorBidi" w:cstheme="majorBidi"/>
          <w:sz w:val="20"/>
          <w:szCs w:val="20"/>
        </w:rPr>
        <w:t>:</w:t>
      </w:r>
    </w:p>
    <w:p w:rsidR="00482E8E" w:rsidRPr="005254AB" w:rsidRDefault="00482E8E" w:rsidP="000F34FC">
      <w:pPr>
        <w:tabs>
          <w:tab w:val="left" w:pos="2895"/>
        </w:tabs>
        <w:bidi w:val="0"/>
        <w:spacing w:after="0" w:line="240" w:lineRule="auto"/>
        <w:ind w:firstLine="540"/>
        <w:jc w:val="both"/>
        <w:rPr>
          <w:rFonts w:asciiTheme="majorBidi" w:hAnsiTheme="majorBidi" w:cstheme="majorBidi"/>
          <w:bCs/>
          <w:iCs/>
          <w:sz w:val="20"/>
          <w:szCs w:val="20"/>
          <w:vertAlign w:val="superscript"/>
          <w:lang w:bidi="en-US"/>
        </w:rPr>
      </w:pPr>
      <w:r w:rsidRPr="005254AB">
        <w:rPr>
          <w:rFonts w:asciiTheme="majorBidi" w:hAnsiTheme="majorBidi" w:cstheme="majorBidi"/>
          <w:bCs/>
          <w:iCs/>
          <w:sz w:val="20"/>
          <w:szCs w:val="20"/>
          <w:lang w:bidi="en-US"/>
        </w:rPr>
        <w:t>Bariatric surgery (BS) is well recognized as the best treatment for morbid obesity. According to the World Health Organization, the worldwide prevalence of obesity has seen a threefold increase since 1975. Approximately 39% of adults with age ≥18 years were overweight in 2016, and 13% among them were obese. Obesity is the second leading cause (after smoking) of the preventable deaths in the United States. Currently, United States ranks among first in high-income countries for the highest body mass index (BMI), 1 of every 3 a</w:t>
      </w:r>
      <w:r w:rsidR="000C3D0B" w:rsidRPr="005254AB">
        <w:rPr>
          <w:rFonts w:asciiTheme="majorBidi" w:hAnsiTheme="majorBidi" w:cstheme="majorBidi"/>
          <w:bCs/>
          <w:iCs/>
          <w:sz w:val="20"/>
          <w:szCs w:val="20"/>
          <w:lang w:bidi="en-US"/>
        </w:rPr>
        <w:t>dults have a BMI over 30</w:t>
      </w:r>
      <w:r w:rsidR="000C3D0B" w:rsidRPr="005254AB">
        <w:rPr>
          <w:rFonts w:ascii="Cambria Math" w:hAnsi="Cambria Math" w:cs="Cambria Math"/>
          <w:bCs/>
          <w:iCs/>
          <w:sz w:val="20"/>
          <w:szCs w:val="20"/>
          <w:lang w:bidi="en-US"/>
        </w:rPr>
        <w:t> </w:t>
      </w:r>
      <w:r w:rsidR="000C3D0B" w:rsidRPr="005254AB">
        <w:rPr>
          <w:rFonts w:asciiTheme="majorBidi" w:hAnsiTheme="majorBidi" w:cstheme="majorBidi"/>
          <w:bCs/>
          <w:iCs/>
          <w:sz w:val="20"/>
          <w:szCs w:val="20"/>
          <w:lang w:bidi="en-US"/>
        </w:rPr>
        <w:t xml:space="preserve">kg/m2 </w:t>
      </w:r>
      <w:r w:rsidRPr="005254AB">
        <w:rPr>
          <w:rFonts w:asciiTheme="majorBidi" w:hAnsiTheme="majorBidi" w:cstheme="majorBidi"/>
          <w:b/>
          <w:bCs/>
          <w:iCs/>
          <w:sz w:val="20"/>
          <w:szCs w:val="20"/>
          <w:vertAlign w:val="superscript"/>
          <w:lang w:bidi="en-US"/>
        </w:rPr>
        <w:t>(</w:t>
      </w:r>
      <w:r w:rsidR="00F35477" w:rsidRPr="005254AB">
        <w:rPr>
          <w:rFonts w:asciiTheme="majorBidi" w:hAnsiTheme="majorBidi" w:cstheme="majorBidi"/>
          <w:b/>
          <w:bCs/>
          <w:iCs/>
          <w:sz w:val="20"/>
          <w:szCs w:val="20"/>
          <w:vertAlign w:val="superscript"/>
          <w:lang w:bidi="en-US"/>
        </w:rPr>
        <w:t>1</w:t>
      </w:r>
      <w:r w:rsidRPr="005254AB">
        <w:rPr>
          <w:rFonts w:asciiTheme="majorBidi" w:hAnsiTheme="majorBidi" w:cstheme="majorBidi"/>
          <w:b/>
          <w:bCs/>
          <w:iCs/>
          <w:sz w:val="20"/>
          <w:szCs w:val="20"/>
          <w:vertAlign w:val="superscript"/>
          <w:lang w:bidi="en-US"/>
        </w:rPr>
        <w:t>).</w:t>
      </w:r>
    </w:p>
    <w:p w:rsidR="00482E8E" w:rsidRPr="005254AB" w:rsidRDefault="00482E8E" w:rsidP="000F34FC">
      <w:pPr>
        <w:tabs>
          <w:tab w:val="left" w:pos="2895"/>
        </w:tabs>
        <w:bidi w:val="0"/>
        <w:spacing w:after="0" w:line="240" w:lineRule="auto"/>
        <w:ind w:firstLine="540"/>
        <w:jc w:val="both"/>
        <w:rPr>
          <w:rFonts w:asciiTheme="majorBidi" w:hAnsiTheme="majorBidi" w:cstheme="majorBidi"/>
          <w:bCs/>
          <w:iCs/>
          <w:sz w:val="20"/>
          <w:szCs w:val="20"/>
          <w:vertAlign w:val="superscript"/>
          <w:lang w:bidi="en-US"/>
        </w:rPr>
      </w:pPr>
      <w:r w:rsidRPr="005254AB">
        <w:rPr>
          <w:rFonts w:asciiTheme="majorBidi" w:hAnsiTheme="majorBidi" w:cstheme="majorBidi"/>
          <w:bCs/>
          <w:iCs/>
          <w:sz w:val="20"/>
          <w:szCs w:val="20"/>
          <w:lang w:bidi="en-US"/>
        </w:rPr>
        <w:t xml:space="preserve">Among the different types of bariatric procedures, sleeve gastrectomy (SG) is today one of the most performed worldwide. It was initially designed as a step procedure for super-morbid-obese (SMO) patients; it has become a primary procedure in the last years. Due to its technically feasibility, it was quickly adopted by all the bariatric surgical groups. Different studies have demonstrated its safety and effectiveness. SMO patients become a challenge due to their excess weight and morphological characteristics, but also for the morbidity conditions associated. This group of patients is mostly benefited by procedures with strong malabsorptive component </w:t>
      </w:r>
      <w:r w:rsidRPr="005254AB">
        <w:rPr>
          <w:rFonts w:asciiTheme="majorBidi" w:hAnsiTheme="majorBidi" w:cstheme="majorBidi"/>
          <w:bCs/>
          <w:iCs/>
          <w:sz w:val="20"/>
          <w:szCs w:val="20"/>
          <w:vertAlign w:val="superscript"/>
          <w:lang w:bidi="en-US"/>
        </w:rPr>
        <w:t>(</w:t>
      </w:r>
      <w:r w:rsidR="00F35477" w:rsidRPr="005254AB">
        <w:rPr>
          <w:rFonts w:asciiTheme="majorBidi" w:hAnsiTheme="majorBidi" w:cstheme="majorBidi"/>
          <w:b/>
          <w:bCs/>
          <w:iCs/>
          <w:sz w:val="20"/>
          <w:szCs w:val="20"/>
          <w:vertAlign w:val="superscript"/>
          <w:lang w:bidi="en-US"/>
        </w:rPr>
        <w:t>2</w:t>
      </w:r>
      <w:r w:rsidRPr="005254AB">
        <w:rPr>
          <w:rFonts w:asciiTheme="majorBidi" w:hAnsiTheme="majorBidi" w:cstheme="majorBidi"/>
          <w:b/>
          <w:bCs/>
          <w:iCs/>
          <w:sz w:val="20"/>
          <w:szCs w:val="20"/>
          <w:vertAlign w:val="superscript"/>
          <w:lang w:bidi="en-US"/>
        </w:rPr>
        <w:t>)</w:t>
      </w:r>
      <w:r w:rsidRPr="005254AB">
        <w:rPr>
          <w:rFonts w:asciiTheme="majorBidi" w:hAnsiTheme="majorBidi" w:cstheme="majorBidi"/>
          <w:bCs/>
          <w:iCs/>
          <w:sz w:val="20"/>
          <w:szCs w:val="20"/>
          <w:vertAlign w:val="superscript"/>
          <w:lang w:bidi="en-US"/>
        </w:rPr>
        <w:t>.</w:t>
      </w:r>
    </w:p>
    <w:p w:rsidR="00482E8E" w:rsidRPr="005254AB" w:rsidRDefault="00482E8E" w:rsidP="000F34FC">
      <w:pPr>
        <w:tabs>
          <w:tab w:val="left" w:pos="2895"/>
        </w:tabs>
        <w:bidi w:val="0"/>
        <w:spacing w:after="0" w:line="240" w:lineRule="auto"/>
        <w:ind w:firstLine="540"/>
        <w:jc w:val="both"/>
        <w:rPr>
          <w:rFonts w:asciiTheme="majorBidi" w:hAnsiTheme="majorBidi" w:cstheme="majorBidi"/>
          <w:bCs/>
          <w:iCs/>
          <w:sz w:val="20"/>
          <w:szCs w:val="20"/>
          <w:vertAlign w:val="superscript"/>
          <w:lang w:bidi="en-US"/>
        </w:rPr>
      </w:pPr>
      <w:r w:rsidRPr="005254AB">
        <w:rPr>
          <w:rFonts w:asciiTheme="majorBidi" w:hAnsiTheme="majorBidi" w:cstheme="majorBidi"/>
          <w:bCs/>
          <w:iCs/>
          <w:sz w:val="20"/>
          <w:szCs w:val="20"/>
          <w:lang w:bidi="en-US"/>
        </w:rPr>
        <w:lastRenderedPageBreak/>
        <w:t xml:space="preserve">Laparoscopic sleeve gastrectomy (LSG) was initially proposed to be a first-step surgery for SMO patients in a staged strategy for a definitive bariatric procedure. However, due to its simplicity and promising results in the management of comorbidities associated with obesity, LSG is now considered a definitive operation. According to different studies, LSG not only provides satisfactory and durable weight loss but also helps in the resolution of several significant comorbidities, including metabolic, cardiovascular, renal, and respiratory disorders. More importantly, it helps in reducing mortality rate and improves the quality of life in obese patients </w:t>
      </w:r>
      <w:r w:rsidRPr="005254AB">
        <w:rPr>
          <w:rFonts w:asciiTheme="majorBidi" w:hAnsiTheme="majorBidi" w:cstheme="majorBidi"/>
          <w:bCs/>
          <w:iCs/>
          <w:sz w:val="20"/>
          <w:szCs w:val="20"/>
          <w:vertAlign w:val="superscript"/>
          <w:lang w:bidi="en-US"/>
        </w:rPr>
        <w:t>(</w:t>
      </w:r>
      <w:r w:rsidR="00F35477" w:rsidRPr="005254AB">
        <w:rPr>
          <w:rFonts w:asciiTheme="majorBidi" w:hAnsiTheme="majorBidi" w:cstheme="majorBidi"/>
          <w:b/>
          <w:bCs/>
          <w:iCs/>
          <w:sz w:val="20"/>
          <w:szCs w:val="20"/>
          <w:vertAlign w:val="superscript"/>
          <w:lang w:bidi="en-US"/>
        </w:rPr>
        <w:t>3</w:t>
      </w:r>
      <w:r w:rsidRPr="005254AB">
        <w:rPr>
          <w:rFonts w:asciiTheme="majorBidi" w:hAnsiTheme="majorBidi" w:cstheme="majorBidi"/>
          <w:b/>
          <w:bCs/>
          <w:iCs/>
          <w:sz w:val="20"/>
          <w:szCs w:val="20"/>
          <w:vertAlign w:val="superscript"/>
          <w:lang w:bidi="en-US"/>
        </w:rPr>
        <w:t>).</w:t>
      </w:r>
    </w:p>
    <w:p w:rsidR="00482E8E" w:rsidRPr="005254AB" w:rsidRDefault="00482E8E" w:rsidP="000F34FC">
      <w:pPr>
        <w:tabs>
          <w:tab w:val="left" w:pos="2895"/>
        </w:tabs>
        <w:bidi w:val="0"/>
        <w:spacing w:after="0" w:line="240" w:lineRule="auto"/>
        <w:ind w:firstLine="540"/>
        <w:jc w:val="both"/>
        <w:rPr>
          <w:rFonts w:asciiTheme="majorBidi" w:hAnsiTheme="majorBidi" w:cstheme="majorBidi"/>
          <w:bCs/>
          <w:iCs/>
          <w:sz w:val="20"/>
          <w:szCs w:val="20"/>
          <w:vertAlign w:val="superscript"/>
          <w:lang w:bidi="en-US"/>
        </w:rPr>
      </w:pPr>
      <w:r w:rsidRPr="005254AB">
        <w:rPr>
          <w:rFonts w:asciiTheme="majorBidi" w:hAnsiTheme="majorBidi" w:cstheme="majorBidi"/>
          <w:bCs/>
          <w:iCs/>
          <w:sz w:val="20"/>
          <w:szCs w:val="20"/>
          <w:lang w:bidi="en-US"/>
        </w:rPr>
        <w:t xml:space="preserve">The strategy to manage SMO patients is usually guided by staged procedures. During the first stage a LSG is performed, and several months later, with some weight loss and better control of other comorbid conditions, the definitive procedure is done. This strategy is defined to reduce the risk of complications of a major bariatric procedure in such complex patients </w:t>
      </w:r>
      <w:r w:rsidRPr="005254AB">
        <w:rPr>
          <w:rFonts w:asciiTheme="majorBidi" w:hAnsiTheme="majorBidi" w:cstheme="majorBidi"/>
          <w:bCs/>
          <w:iCs/>
          <w:sz w:val="20"/>
          <w:szCs w:val="20"/>
          <w:vertAlign w:val="superscript"/>
          <w:lang w:bidi="en-US"/>
        </w:rPr>
        <w:t>(</w:t>
      </w:r>
      <w:r w:rsidR="00F35477" w:rsidRPr="005254AB">
        <w:rPr>
          <w:rFonts w:asciiTheme="majorBidi" w:hAnsiTheme="majorBidi" w:cstheme="majorBidi"/>
          <w:b/>
          <w:bCs/>
          <w:iCs/>
          <w:sz w:val="20"/>
          <w:szCs w:val="20"/>
          <w:vertAlign w:val="superscript"/>
          <w:lang w:bidi="en-US"/>
        </w:rPr>
        <w:t>2</w:t>
      </w:r>
      <w:r w:rsidRPr="005254AB">
        <w:rPr>
          <w:rFonts w:asciiTheme="majorBidi" w:hAnsiTheme="majorBidi" w:cstheme="majorBidi"/>
          <w:b/>
          <w:bCs/>
          <w:iCs/>
          <w:sz w:val="20"/>
          <w:szCs w:val="20"/>
          <w:vertAlign w:val="superscript"/>
          <w:lang w:bidi="en-US"/>
        </w:rPr>
        <w:t>)</w:t>
      </w:r>
      <w:r w:rsidRPr="005254AB">
        <w:rPr>
          <w:rFonts w:asciiTheme="majorBidi" w:hAnsiTheme="majorBidi" w:cstheme="majorBidi"/>
          <w:bCs/>
          <w:iCs/>
          <w:sz w:val="20"/>
          <w:szCs w:val="20"/>
          <w:vertAlign w:val="superscript"/>
          <w:lang w:bidi="en-US"/>
        </w:rPr>
        <w:t>.</w:t>
      </w:r>
    </w:p>
    <w:p w:rsidR="00482E8E" w:rsidRPr="005254AB" w:rsidRDefault="00482E8E" w:rsidP="000F34FC">
      <w:pPr>
        <w:tabs>
          <w:tab w:val="left" w:pos="2895"/>
        </w:tabs>
        <w:bidi w:val="0"/>
        <w:spacing w:after="0" w:line="240" w:lineRule="auto"/>
        <w:ind w:firstLine="540"/>
        <w:jc w:val="both"/>
        <w:rPr>
          <w:rFonts w:asciiTheme="majorBidi" w:hAnsiTheme="majorBidi" w:cstheme="majorBidi"/>
          <w:b/>
          <w:bCs/>
          <w:iCs/>
          <w:sz w:val="20"/>
          <w:szCs w:val="20"/>
          <w:vertAlign w:val="superscript"/>
          <w:lang w:bidi="en-US"/>
        </w:rPr>
      </w:pPr>
      <w:r w:rsidRPr="005254AB">
        <w:rPr>
          <w:rFonts w:asciiTheme="majorBidi" w:hAnsiTheme="majorBidi" w:cstheme="majorBidi"/>
          <w:bCs/>
          <w:iCs/>
          <w:sz w:val="20"/>
          <w:szCs w:val="20"/>
          <w:lang w:bidi="en-US"/>
        </w:rPr>
        <w:t xml:space="preserve">Single anastomosis sleeve ileal bypass (SASI) procedure appears as a new metabolic and bariatric surgery based on Santoro's operation, in which a sleeve gastrectomy is followed by a side-to-side </w:t>
      </w:r>
      <w:proofErr w:type="spellStart"/>
      <w:r w:rsidRPr="005254AB">
        <w:rPr>
          <w:rFonts w:asciiTheme="majorBidi" w:hAnsiTheme="majorBidi" w:cstheme="majorBidi"/>
          <w:bCs/>
          <w:iCs/>
          <w:sz w:val="20"/>
          <w:szCs w:val="20"/>
          <w:lang w:bidi="en-US"/>
        </w:rPr>
        <w:t>gastroileal</w:t>
      </w:r>
      <w:proofErr w:type="spellEnd"/>
      <w:r w:rsidRPr="005254AB">
        <w:rPr>
          <w:rFonts w:asciiTheme="majorBidi" w:hAnsiTheme="majorBidi" w:cstheme="majorBidi"/>
          <w:bCs/>
          <w:iCs/>
          <w:sz w:val="20"/>
          <w:szCs w:val="20"/>
          <w:lang w:bidi="en-US"/>
        </w:rPr>
        <w:t xml:space="preserve"> anastomosis </w:t>
      </w:r>
      <w:r w:rsidRPr="005254AB">
        <w:rPr>
          <w:rFonts w:asciiTheme="majorBidi" w:hAnsiTheme="majorBidi" w:cstheme="majorBidi"/>
          <w:bCs/>
          <w:iCs/>
          <w:sz w:val="20"/>
          <w:szCs w:val="20"/>
          <w:vertAlign w:val="superscript"/>
          <w:lang w:bidi="en-US"/>
        </w:rPr>
        <w:t>(</w:t>
      </w:r>
      <w:r w:rsidR="00F35477" w:rsidRPr="005254AB">
        <w:rPr>
          <w:rFonts w:asciiTheme="majorBidi" w:hAnsiTheme="majorBidi" w:cstheme="majorBidi"/>
          <w:b/>
          <w:bCs/>
          <w:iCs/>
          <w:sz w:val="20"/>
          <w:szCs w:val="20"/>
          <w:vertAlign w:val="superscript"/>
          <w:lang w:bidi="en-US"/>
        </w:rPr>
        <w:t>4</w:t>
      </w:r>
      <w:r w:rsidRPr="005254AB">
        <w:rPr>
          <w:rFonts w:asciiTheme="majorBidi" w:hAnsiTheme="majorBidi" w:cstheme="majorBidi"/>
          <w:b/>
          <w:bCs/>
          <w:iCs/>
          <w:sz w:val="20"/>
          <w:szCs w:val="20"/>
          <w:vertAlign w:val="superscript"/>
          <w:lang w:bidi="en-US"/>
        </w:rPr>
        <w:t>).</w:t>
      </w:r>
    </w:p>
    <w:p w:rsidR="00482E8E" w:rsidRPr="005254AB" w:rsidRDefault="00482E8E" w:rsidP="000F34FC">
      <w:pPr>
        <w:tabs>
          <w:tab w:val="left" w:pos="2895"/>
        </w:tabs>
        <w:bidi w:val="0"/>
        <w:spacing w:after="0" w:line="240" w:lineRule="auto"/>
        <w:ind w:firstLine="540"/>
        <w:jc w:val="both"/>
        <w:rPr>
          <w:rFonts w:asciiTheme="majorBidi" w:hAnsiTheme="majorBidi" w:cstheme="majorBidi"/>
          <w:bCs/>
          <w:iCs/>
          <w:sz w:val="20"/>
          <w:szCs w:val="20"/>
          <w:lang w:bidi="en-US"/>
        </w:rPr>
      </w:pPr>
      <w:r w:rsidRPr="005254AB">
        <w:rPr>
          <w:rFonts w:asciiTheme="majorBidi" w:hAnsiTheme="majorBidi" w:cstheme="majorBidi"/>
          <w:bCs/>
          <w:iCs/>
          <w:sz w:val="20"/>
          <w:szCs w:val="20"/>
          <w:lang w:bidi="en-US"/>
        </w:rPr>
        <w:lastRenderedPageBreak/>
        <w:t>The main aim of this study was to compare the outcome of SASI bypass with that of SG in regards weight loss duration, maintenance, failure, cost, time of operation, learning curve and postoperative complications, improvement in comorbidities at 12 months of follow-up.</w:t>
      </w:r>
    </w:p>
    <w:p w:rsidR="008F301E" w:rsidRPr="005254AB" w:rsidRDefault="000F34FC" w:rsidP="000F34FC">
      <w:pPr>
        <w:tabs>
          <w:tab w:val="left" w:pos="2895"/>
        </w:tabs>
        <w:bidi w:val="0"/>
        <w:spacing w:after="0" w:line="240" w:lineRule="auto"/>
        <w:jc w:val="both"/>
        <w:rPr>
          <w:rFonts w:asciiTheme="majorBidi" w:hAnsiTheme="majorBidi" w:cstheme="majorBidi"/>
          <w:b/>
          <w:sz w:val="20"/>
          <w:szCs w:val="20"/>
        </w:rPr>
      </w:pPr>
      <w:r w:rsidRPr="005254AB">
        <w:rPr>
          <w:rFonts w:asciiTheme="majorBidi" w:hAnsiTheme="majorBidi" w:cstheme="majorBidi"/>
          <w:b/>
          <w:sz w:val="20"/>
          <w:szCs w:val="20"/>
        </w:rPr>
        <w:t>2.</w:t>
      </w:r>
      <w:r w:rsidR="00486A43" w:rsidRPr="005254AB">
        <w:rPr>
          <w:rFonts w:asciiTheme="majorBidi" w:hAnsiTheme="majorBidi" w:cstheme="majorBidi"/>
          <w:b/>
          <w:sz w:val="20"/>
          <w:szCs w:val="20"/>
        </w:rPr>
        <w:t>Patient</w:t>
      </w:r>
      <w:r w:rsidR="005C6C25" w:rsidRPr="005254AB">
        <w:rPr>
          <w:rFonts w:asciiTheme="majorBidi" w:hAnsiTheme="majorBidi" w:cstheme="majorBidi"/>
          <w:b/>
          <w:sz w:val="20"/>
          <w:szCs w:val="20"/>
        </w:rPr>
        <w:t>s and Methods</w:t>
      </w:r>
    </w:p>
    <w:p w:rsidR="00482E8E" w:rsidRPr="005254AB" w:rsidRDefault="00482E8E" w:rsidP="000F34FC">
      <w:pPr>
        <w:bidi w:val="0"/>
        <w:spacing w:after="0" w:line="240" w:lineRule="auto"/>
        <w:ind w:firstLine="540"/>
        <w:jc w:val="both"/>
        <w:rPr>
          <w:rFonts w:asciiTheme="majorBidi" w:eastAsia="Times New Roman" w:hAnsiTheme="majorBidi" w:cstheme="majorBidi"/>
          <w:sz w:val="20"/>
          <w:szCs w:val="20"/>
        </w:rPr>
      </w:pPr>
      <w:r w:rsidRPr="005254AB">
        <w:rPr>
          <w:rFonts w:asciiTheme="majorBidi" w:eastAsia="Times New Roman" w:hAnsiTheme="majorBidi" w:cstheme="majorBidi"/>
          <w:sz w:val="20"/>
          <w:szCs w:val="20"/>
        </w:rPr>
        <w:t xml:space="preserve">This prospective randomized clinical study was conducted in General Surgery Department of </w:t>
      </w:r>
      <w:proofErr w:type="spellStart"/>
      <w:r w:rsidRPr="005254AB">
        <w:rPr>
          <w:rFonts w:asciiTheme="majorBidi" w:eastAsia="Times New Roman" w:hAnsiTheme="majorBidi" w:cstheme="majorBidi"/>
          <w:sz w:val="20"/>
          <w:szCs w:val="20"/>
        </w:rPr>
        <w:t>Benha</w:t>
      </w:r>
      <w:proofErr w:type="spellEnd"/>
      <w:r w:rsidRPr="005254AB">
        <w:rPr>
          <w:rFonts w:asciiTheme="majorBidi" w:eastAsia="Times New Roman" w:hAnsiTheme="majorBidi" w:cstheme="majorBidi"/>
          <w:sz w:val="20"/>
          <w:szCs w:val="20"/>
        </w:rPr>
        <w:t xml:space="preserve"> University Hospital, patients were randomly selected from outpatient clinic with morbid obesity. </w:t>
      </w:r>
    </w:p>
    <w:p w:rsidR="00482E8E" w:rsidRPr="005254AB" w:rsidRDefault="00482E8E" w:rsidP="000F34FC">
      <w:pPr>
        <w:bidi w:val="0"/>
        <w:spacing w:after="0" w:line="240" w:lineRule="auto"/>
        <w:ind w:firstLine="540"/>
        <w:jc w:val="both"/>
        <w:rPr>
          <w:rFonts w:asciiTheme="majorBidi" w:eastAsia="Times New Roman" w:hAnsiTheme="majorBidi" w:cstheme="majorBidi"/>
          <w:sz w:val="20"/>
          <w:szCs w:val="20"/>
        </w:rPr>
      </w:pPr>
      <w:r w:rsidRPr="005254AB">
        <w:rPr>
          <w:rFonts w:asciiTheme="majorBidi" w:eastAsia="Times New Roman" w:hAnsiTheme="majorBidi" w:cstheme="majorBidi"/>
          <w:sz w:val="20"/>
          <w:szCs w:val="20"/>
        </w:rPr>
        <w:t>A total of 40 morbid obese non sweet eaters patients were randomly divided into two equal groups:</w:t>
      </w:r>
    </w:p>
    <w:p w:rsidR="00482E8E" w:rsidRPr="005254AB" w:rsidRDefault="00482E8E" w:rsidP="000F34FC">
      <w:pPr>
        <w:numPr>
          <w:ilvl w:val="0"/>
          <w:numId w:val="6"/>
        </w:numPr>
        <w:bidi w:val="0"/>
        <w:spacing w:after="0" w:line="240" w:lineRule="auto"/>
        <w:ind w:left="450" w:hanging="270"/>
        <w:jc w:val="both"/>
        <w:rPr>
          <w:rFonts w:asciiTheme="majorBidi" w:eastAsia="Times New Roman" w:hAnsiTheme="majorBidi" w:cstheme="majorBidi"/>
          <w:sz w:val="20"/>
          <w:szCs w:val="20"/>
        </w:rPr>
      </w:pPr>
      <w:r w:rsidRPr="005254AB">
        <w:rPr>
          <w:rFonts w:asciiTheme="majorBidi" w:eastAsia="Times New Roman" w:hAnsiTheme="majorBidi" w:cstheme="majorBidi"/>
          <w:b/>
          <w:bCs/>
          <w:sz w:val="20"/>
          <w:szCs w:val="20"/>
        </w:rPr>
        <w:t>Group I</w:t>
      </w:r>
      <w:r w:rsidRPr="005254AB">
        <w:rPr>
          <w:rFonts w:asciiTheme="majorBidi" w:eastAsia="Times New Roman" w:hAnsiTheme="majorBidi" w:cstheme="majorBidi"/>
          <w:sz w:val="20"/>
          <w:szCs w:val="20"/>
        </w:rPr>
        <w:t xml:space="preserve"> : a number of 20 patient underwent laparoscopic SG </w:t>
      </w:r>
    </w:p>
    <w:p w:rsidR="00482E8E" w:rsidRPr="005254AB" w:rsidRDefault="00482E8E" w:rsidP="000F34FC">
      <w:pPr>
        <w:numPr>
          <w:ilvl w:val="0"/>
          <w:numId w:val="6"/>
        </w:numPr>
        <w:bidi w:val="0"/>
        <w:spacing w:after="0" w:line="240" w:lineRule="auto"/>
        <w:ind w:left="450" w:hanging="270"/>
        <w:jc w:val="both"/>
        <w:rPr>
          <w:rFonts w:asciiTheme="majorBidi" w:eastAsia="Times New Roman" w:hAnsiTheme="majorBidi" w:cstheme="majorBidi"/>
          <w:sz w:val="20"/>
          <w:szCs w:val="20"/>
        </w:rPr>
      </w:pPr>
      <w:r w:rsidRPr="005254AB">
        <w:rPr>
          <w:rFonts w:asciiTheme="majorBidi" w:eastAsia="Times New Roman" w:hAnsiTheme="majorBidi" w:cstheme="majorBidi"/>
          <w:b/>
          <w:bCs/>
          <w:sz w:val="20"/>
          <w:szCs w:val="20"/>
        </w:rPr>
        <w:t>Group II</w:t>
      </w:r>
      <w:r w:rsidRPr="005254AB">
        <w:rPr>
          <w:rFonts w:asciiTheme="majorBidi" w:eastAsia="Times New Roman" w:hAnsiTheme="majorBidi" w:cstheme="majorBidi"/>
          <w:sz w:val="20"/>
          <w:szCs w:val="20"/>
        </w:rPr>
        <w:t xml:space="preserve"> : a number of 20 patient underwent laparoscopic SASI.</w:t>
      </w:r>
    </w:p>
    <w:p w:rsidR="00482E8E" w:rsidRPr="005254AB" w:rsidRDefault="00482E8E" w:rsidP="000F34FC">
      <w:pPr>
        <w:bidi w:val="0"/>
        <w:spacing w:after="0" w:line="240" w:lineRule="auto"/>
        <w:ind w:firstLine="540"/>
        <w:jc w:val="both"/>
        <w:rPr>
          <w:rFonts w:asciiTheme="majorBidi" w:eastAsia="Times New Roman" w:hAnsiTheme="majorBidi" w:cstheme="majorBidi"/>
          <w:sz w:val="20"/>
          <w:szCs w:val="20"/>
        </w:rPr>
      </w:pPr>
      <w:r w:rsidRPr="005254AB">
        <w:rPr>
          <w:rFonts w:asciiTheme="majorBidi" w:eastAsia="Times New Roman" w:hAnsiTheme="majorBidi" w:cstheme="majorBidi"/>
          <w:sz w:val="20"/>
          <w:szCs w:val="20"/>
        </w:rPr>
        <w:t>The Study period was 1 year.</w:t>
      </w:r>
    </w:p>
    <w:p w:rsidR="00482E8E" w:rsidRPr="005254AB" w:rsidRDefault="00482E8E" w:rsidP="000F34FC">
      <w:pPr>
        <w:bidi w:val="0"/>
        <w:spacing w:after="0" w:line="240" w:lineRule="auto"/>
        <w:jc w:val="both"/>
        <w:rPr>
          <w:rFonts w:asciiTheme="majorBidi" w:hAnsiTheme="majorBidi" w:cstheme="majorBidi"/>
          <w:sz w:val="20"/>
          <w:szCs w:val="20"/>
          <w:rtl/>
        </w:rPr>
      </w:pPr>
      <w:r w:rsidRPr="005254AB">
        <w:rPr>
          <w:rFonts w:asciiTheme="majorBidi" w:hAnsiTheme="majorBidi" w:cstheme="majorBidi"/>
          <w:b/>
          <w:bCs/>
          <w:sz w:val="20"/>
          <w:szCs w:val="20"/>
        </w:rPr>
        <w:t>Inclusion criteria :</w:t>
      </w:r>
      <w:r w:rsidRPr="005254AB">
        <w:rPr>
          <w:rFonts w:asciiTheme="majorBidi" w:hAnsiTheme="majorBidi" w:cstheme="majorBidi"/>
          <w:sz w:val="20"/>
          <w:szCs w:val="20"/>
        </w:rPr>
        <w:t xml:space="preserve"> </w:t>
      </w:r>
      <w:r w:rsidRPr="005254AB">
        <w:rPr>
          <w:rFonts w:asciiTheme="majorBidi" w:eastAsiaTheme="minorHAnsi" w:hAnsiTheme="majorBidi" w:cstheme="majorBidi"/>
          <w:sz w:val="20"/>
          <w:szCs w:val="20"/>
        </w:rPr>
        <w:t>The study included patients in whom surgical management is indicated:</w:t>
      </w:r>
    </w:p>
    <w:p w:rsidR="00482E8E" w:rsidRPr="005254AB" w:rsidRDefault="00482E8E" w:rsidP="005254AB">
      <w:pPr>
        <w:numPr>
          <w:ilvl w:val="0"/>
          <w:numId w:val="21"/>
        </w:numPr>
        <w:bidi w:val="0"/>
        <w:spacing w:after="0" w:line="240" w:lineRule="auto"/>
        <w:ind w:left="630" w:hanging="270"/>
        <w:jc w:val="both"/>
        <w:rPr>
          <w:rFonts w:asciiTheme="majorBidi" w:eastAsiaTheme="minorHAnsi" w:hAnsiTheme="majorBidi" w:cstheme="majorBidi"/>
          <w:sz w:val="20"/>
          <w:szCs w:val="20"/>
          <w:rtl/>
        </w:rPr>
      </w:pPr>
      <w:r w:rsidRPr="005254AB">
        <w:rPr>
          <w:rFonts w:asciiTheme="majorBidi" w:eastAsiaTheme="minorHAnsi" w:hAnsiTheme="majorBidi" w:cstheme="majorBidi"/>
          <w:sz w:val="20"/>
          <w:szCs w:val="20"/>
        </w:rPr>
        <w:t>Patients with BMI &gt;_ 40.</w:t>
      </w:r>
    </w:p>
    <w:p w:rsidR="00482E8E" w:rsidRPr="005254AB" w:rsidRDefault="00482E8E" w:rsidP="005254AB">
      <w:pPr>
        <w:numPr>
          <w:ilvl w:val="0"/>
          <w:numId w:val="21"/>
        </w:numPr>
        <w:bidi w:val="0"/>
        <w:spacing w:after="0" w:line="240" w:lineRule="auto"/>
        <w:ind w:left="630" w:hanging="270"/>
        <w:jc w:val="both"/>
        <w:rPr>
          <w:rFonts w:asciiTheme="majorBidi" w:eastAsiaTheme="minorHAnsi" w:hAnsiTheme="majorBidi" w:cstheme="majorBidi"/>
          <w:sz w:val="20"/>
          <w:szCs w:val="20"/>
        </w:rPr>
      </w:pPr>
      <w:r w:rsidRPr="005254AB">
        <w:rPr>
          <w:rFonts w:asciiTheme="majorBidi" w:eastAsiaTheme="minorHAnsi" w:hAnsiTheme="majorBidi" w:cstheme="majorBidi"/>
          <w:sz w:val="20"/>
          <w:szCs w:val="20"/>
        </w:rPr>
        <w:t xml:space="preserve">Patients with BMI 35 – 40 with obesity related comorbidities (e.g. hypertension, hyperlipidemia, type 2 diabetes mellitus, obstructive sleep apnea, obesity hypoventilation syndrome, </w:t>
      </w:r>
      <w:proofErr w:type="spellStart"/>
      <w:r w:rsidRPr="005254AB">
        <w:rPr>
          <w:rFonts w:asciiTheme="majorBidi" w:eastAsiaTheme="minorHAnsi" w:hAnsiTheme="majorBidi" w:cstheme="majorBidi"/>
          <w:sz w:val="20"/>
          <w:szCs w:val="20"/>
        </w:rPr>
        <w:t>non alcoholic</w:t>
      </w:r>
      <w:proofErr w:type="spellEnd"/>
      <w:r w:rsidRPr="005254AB">
        <w:rPr>
          <w:rFonts w:asciiTheme="majorBidi" w:eastAsiaTheme="minorHAnsi" w:hAnsiTheme="majorBidi" w:cstheme="majorBidi"/>
          <w:sz w:val="20"/>
          <w:szCs w:val="20"/>
        </w:rPr>
        <w:t xml:space="preserve"> fatty liver disease and sever </w:t>
      </w:r>
      <w:proofErr w:type="spellStart"/>
      <w:r w:rsidRPr="005254AB">
        <w:rPr>
          <w:rFonts w:asciiTheme="majorBidi" w:eastAsiaTheme="minorHAnsi" w:hAnsiTheme="majorBidi" w:cstheme="majorBidi"/>
          <w:sz w:val="20"/>
          <w:szCs w:val="20"/>
        </w:rPr>
        <w:t>artheritis</w:t>
      </w:r>
      <w:proofErr w:type="spellEnd"/>
      <w:r w:rsidRPr="005254AB">
        <w:rPr>
          <w:rFonts w:asciiTheme="majorBidi" w:eastAsiaTheme="minorHAnsi" w:hAnsiTheme="majorBidi" w:cstheme="majorBidi"/>
          <w:sz w:val="20"/>
          <w:szCs w:val="20"/>
        </w:rPr>
        <w:t>).</w:t>
      </w:r>
    </w:p>
    <w:p w:rsidR="00482E8E" w:rsidRPr="005254AB" w:rsidRDefault="00482E8E" w:rsidP="000F34FC">
      <w:pPr>
        <w:bidi w:val="0"/>
        <w:spacing w:after="0" w:line="240" w:lineRule="auto"/>
        <w:ind w:firstLine="540"/>
        <w:jc w:val="both"/>
        <w:rPr>
          <w:rFonts w:asciiTheme="majorBidi" w:hAnsiTheme="majorBidi" w:cstheme="majorBidi"/>
          <w:b/>
          <w:bCs/>
          <w:sz w:val="20"/>
          <w:szCs w:val="20"/>
        </w:rPr>
      </w:pPr>
      <w:r w:rsidRPr="005254AB">
        <w:rPr>
          <w:rFonts w:asciiTheme="majorBidi" w:hAnsiTheme="majorBidi" w:cstheme="majorBidi"/>
          <w:b/>
          <w:bCs/>
          <w:sz w:val="20"/>
          <w:szCs w:val="20"/>
        </w:rPr>
        <w:t xml:space="preserve">Exclusion criteria:   </w:t>
      </w:r>
    </w:p>
    <w:p w:rsidR="00482E8E" w:rsidRPr="005254AB" w:rsidRDefault="00482E8E" w:rsidP="005254AB">
      <w:pPr>
        <w:pStyle w:val="a9"/>
        <w:numPr>
          <w:ilvl w:val="0"/>
          <w:numId w:val="22"/>
        </w:numPr>
        <w:bidi w:val="0"/>
        <w:spacing w:after="0" w:line="240" w:lineRule="auto"/>
        <w:ind w:left="630" w:hanging="270"/>
        <w:jc w:val="both"/>
        <w:rPr>
          <w:rFonts w:asciiTheme="majorBidi" w:eastAsiaTheme="minorHAnsi" w:hAnsiTheme="majorBidi" w:cstheme="majorBidi"/>
          <w:sz w:val="20"/>
          <w:szCs w:val="20"/>
          <w:rtl/>
        </w:rPr>
      </w:pPr>
      <w:r w:rsidRPr="005254AB">
        <w:rPr>
          <w:rFonts w:asciiTheme="majorBidi" w:eastAsiaTheme="minorHAnsi" w:hAnsiTheme="majorBidi" w:cstheme="majorBidi"/>
          <w:sz w:val="20"/>
          <w:szCs w:val="20"/>
        </w:rPr>
        <w:t>Age less than 18 years old or older than 59 years old.</w:t>
      </w:r>
    </w:p>
    <w:p w:rsidR="00482E8E" w:rsidRPr="005254AB" w:rsidRDefault="00482E8E" w:rsidP="005254AB">
      <w:pPr>
        <w:pStyle w:val="a9"/>
        <w:numPr>
          <w:ilvl w:val="0"/>
          <w:numId w:val="22"/>
        </w:numPr>
        <w:bidi w:val="0"/>
        <w:spacing w:after="0" w:line="240" w:lineRule="auto"/>
        <w:ind w:left="630" w:hanging="270"/>
        <w:jc w:val="both"/>
        <w:rPr>
          <w:rFonts w:asciiTheme="majorBidi" w:eastAsiaTheme="minorHAnsi" w:hAnsiTheme="majorBidi" w:cstheme="majorBidi"/>
          <w:sz w:val="20"/>
          <w:szCs w:val="20"/>
        </w:rPr>
      </w:pPr>
      <w:r w:rsidRPr="005254AB">
        <w:rPr>
          <w:rFonts w:asciiTheme="majorBidi" w:eastAsiaTheme="minorHAnsi" w:hAnsiTheme="majorBidi" w:cstheme="majorBidi"/>
          <w:sz w:val="20"/>
          <w:szCs w:val="20"/>
        </w:rPr>
        <w:t xml:space="preserve">Patients not fit for general anesthesia (e.g. patients with </w:t>
      </w:r>
      <w:proofErr w:type="spellStart"/>
      <w:r w:rsidRPr="005254AB">
        <w:rPr>
          <w:rFonts w:asciiTheme="majorBidi" w:eastAsiaTheme="minorHAnsi" w:hAnsiTheme="majorBidi" w:cstheme="majorBidi"/>
          <w:sz w:val="20"/>
          <w:szCs w:val="20"/>
        </w:rPr>
        <w:t>sever</w:t>
      </w:r>
      <w:proofErr w:type="spellEnd"/>
      <w:r w:rsidRPr="005254AB">
        <w:rPr>
          <w:rFonts w:asciiTheme="majorBidi" w:eastAsiaTheme="minorHAnsi" w:hAnsiTheme="majorBidi" w:cstheme="majorBidi"/>
          <w:sz w:val="20"/>
          <w:szCs w:val="20"/>
        </w:rPr>
        <w:t xml:space="preserve"> heart disease or untreatable coagulopathies).</w:t>
      </w:r>
    </w:p>
    <w:p w:rsidR="00482E8E" w:rsidRPr="005254AB" w:rsidRDefault="00482E8E" w:rsidP="005254AB">
      <w:pPr>
        <w:pStyle w:val="a9"/>
        <w:numPr>
          <w:ilvl w:val="0"/>
          <w:numId w:val="22"/>
        </w:numPr>
        <w:bidi w:val="0"/>
        <w:spacing w:after="0" w:line="240" w:lineRule="auto"/>
        <w:ind w:left="630" w:hanging="270"/>
        <w:jc w:val="both"/>
        <w:rPr>
          <w:rFonts w:asciiTheme="majorBidi" w:eastAsiaTheme="minorHAnsi" w:hAnsiTheme="majorBidi" w:cstheme="majorBidi"/>
          <w:sz w:val="20"/>
          <w:szCs w:val="20"/>
        </w:rPr>
      </w:pPr>
      <w:r w:rsidRPr="005254AB">
        <w:rPr>
          <w:rFonts w:asciiTheme="majorBidi" w:eastAsiaTheme="minorHAnsi" w:hAnsiTheme="majorBidi" w:cstheme="majorBidi"/>
          <w:sz w:val="20"/>
          <w:szCs w:val="20"/>
        </w:rPr>
        <w:t>Patients with contraindications to insufflation as those with sever cardiovascular or sever restrictive respiratory diseases.</w:t>
      </w:r>
    </w:p>
    <w:p w:rsidR="00482E8E" w:rsidRPr="005254AB" w:rsidRDefault="00482E8E" w:rsidP="005254AB">
      <w:pPr>
        <w:pStyle w:val="a9"/>
        <w:numPr>
          <w:ilvl w:val="0"/>
          <w:numId w:val="22"/>
        </w:numPr>
        <w:bidi w:val="0"/>
        <w:spacing w:after="0" w:line="240" w:lineRule="auto"/>
        <w:ind w:left="630" w:hanging="270"/>
        <w:jc w:val="both"/>
        <w:rPr>
          <w:rFonts w:asciiTheme="majorBidi" w:eastAsiaTheme="minorHAnsi" w:hAnsiTheme="majorBidi" w:cstheme="majorBidi"/>
          <w:sz w:val="20"/>
          <w:szCs w:val="20"/>
        </w:rPr>
      </w:pPr>
      <w:r w:rsidRPr="005254AB">
        <w:rPr>
          <w:rFonts w:asciiTheme="majorBidi" w:eastAsiaTheme="minorHAnsi" w:hAnsiTheme="majorBidi" w:cstheme="majorBidi"/>
          <w:sz w:val="20"/>
          <w:szCs w:val="20"/>
        </w:rPr>
        <w:t>Patients with major psychiatric illness.</w:t>
      </w:r>
    </w:p>
    <w:p w:rsidR="00482E8E" w:rsidRPr="005254AB" w:rsidRDefault="00482E8E" w:rsidP="005254AB">
      <w:pPr>
        <w:pStyle w:val="a9"/>
        <w:numPr>
          <w:ilvl w:val="0"/>
          <w:numId w:val="22"/>
        </w:numPr>
        <w:bidi w:val="0"/>
        <w:spacing w:after="0" w:line="240" w:lineRule="auto"/>
        <w:ind w:left="630" w:hanging="270"/>
        <w:jc w:val="both"/>
        <w:rPr>
          <w:rFonts w:asciiTheme="majorBidi" w:eastAsia="Times New Roman" w:hAnsiTheme="majorBidi" w:cstheme="majorBidi"/>
          <w:sz w:val="20"/>
          <w:szCs w:val="20"/>
          <w:u w:val="single"/>
        </w:rPr>
      </w:pPr>
      <w:r w:rsidRPr="005254AB">
        <w:rPr>
          <w:rFonts w:asciiTheme="majorBidi" w:eastAsiaTheme="minorHAnsi" w:hAnsiTheme="majorBidi" w:cstheme="majorBidi"/>
          <w:sz w:val="20"/>
          <w:szCs w:val="20"/>
        </w:rPr>
        <w:t>Pr</w:t>
      </w:r>
      <w:r w:rsidRPr="005254AB">
        <w:rPr>
          <w:rFonts w:asciiTheme="majorBidi" w:eastAsia="Times New Roman" w:hAnsiTheme="majorBidi" w:cstheme="majorBidi"/>
          <w:sz w:val="20"/>
          <w:szCs w:val="20"/>
        </w:rPr>
        <w:t>egnant patients.</w:t>
      </w:r>
    </w:p>
    <w:p w:rsidR="00482E8E" w:rsidRPr="005254AB" w:rsidRDefault="00482E8E" w:rsidP="000F34FC">
      <w:pPr>
        <w:bidi w:val="0"/>
        <w:spacing w:after="0" w:line="240" w:lineRule="auto"/>
        <w:jc w:val="both"/>
        <w:rPr>
          <w:rFonts w:asciiTheme="majorBidi" w:hAnsiTheme="majorBidi" w:cstheme="majorBidi"/>
          <w:b/>
          <w:bCs/>
          <w:sz w:val="20"/>
          <w:szCs w:val="20"/>
        </w:rPr>
      </w:pPr>
      <w:r w:rsidRPr="005254AB">
        <w:rPr>
          <w:rFonts w:asciiTheme="majorBidi" w:hAnsiTheme="majorBidi" w:cstheme="majorBidi"/>
          <w:b/>
          <w:bCs/>
          <w:sz w:val="20"/>
          <w:szCs w:val="20"/>
        </w:rPr>
        <w:t>All patients included in the study were subjected to the following:</w:t>
      </w:r>
    </w:p>
    <w:p w:rsidR="00482E8E" w:rsidRPr="005254AB" w:rsidRDefault="00482E8E" w:rsidP="000F34FC">
      <w:pPr>
        <w:bidi w:val="0"/>
        <w:spacing w:after="0" w:line="240" w:lineRule="auto"/>
        <w:ind w:firstLine="540"/>
        <w:jc w:val="both"/>
        <w:rPr>
          <w:rFonts w:asciiTheme="majorBidi" w:eastAsia="Times New Roman" w:hAnsiTheme="majorBidi" w:cstheme="majorBidi"/>
          <w:sz w:val="20"/>
          <w:szCs w:val="20"/>
        </w:rPr>
      </w:pPr>
      <w:r w:rsidRPr="005254AB">
        <w:rPr>
          <w:rFonts w:asciiTheme="majorBidi" w:eastAsia="Times New Roman" w:hAnsiTheme="majorBidi" w:cstheme="majorBidi"/>
          <w:sz w:val="20"/>
          <w:szCs w:val="20"/>
        </w:rPr>
        <w:t>The included patients are subjected to:-</w:t>
      </w:r>
    </w:p>
    <w:p w:rsidR="00482E8E" w:rsidRPr="005254AB" w:rsidRDefault="00482E8E" w:rsidP="000F34FC">
      <w:pPr>
        <w:bidi w:val="0"/>
        <w:spacing w:after="0" w:line="240" w:lineRule="auto"/>
        <w:jc w:val="both"/>
        <w:rPr>
          <w:rFonts w:asciiTheme="majorBidi" w:eastAsia="Times New Roman" w:hAnsiTheme="majorBidi" w:cstheme="majorBidi"/>
          <w:sz w:val="20"/>
          <w:szCs w:val="20"/>
        </w:rPr>
      </w:pPr>
      <w:r w:rsidRPr="005254AB">
        <w:rPr>
          <w:rFonts w:asciiTheme="majorBidi" w:eastAsia="Times New Roman" w:hAnsiTheme="majorBidi" w:cstheme="majorBidi"/>
          <w:b/>
          <w:bCs/>
          <w:sz w:val="20"/>
          <w:szCs w:val="20"/>
        </w:rPr>
        <w:t>Detailed history taking including</w:t>
      </w:r>
      <w:r w:rsidRPr="005254AB">
        <w:rPr>
          <w:rFonts w:asciiTheme="majorBidi" w:eastAsia="Times New Roman" w:hAnsiTheme="majorBidi" w:cstheme="majorBidi"/>
          <w:sz w:val="20"/>
          <w:szCs w:val="20"/>
        </w:rPr>
        <w:t xml:space="preserve">:  </w:t>
      </w:r>
    </w:p>
    <w:p w:rsidR="00482E8E" w:rsidRPr="005254AB" w:rsidRDefault="000F34FC" w:rsidP="005254AB">
      <w:pPr>
        <w:bidi w:val="0"/>
        <w:spacing w:after="0" w:line="240" w:lineRule="auto"/>
        <w:ind w:left="630" w:hanging="270"/>
        <w:jc w:val="both"/>
        <w:rPr>
          <w:rFonts w:asciiTheme="majorBidi" w:eastAsia="Times New Roman" w:hAnsiTheme="majorBidi" w:cstheme="majorBidi"/>
          <w:sz w:val="20"/>
          <w:szCs w:val="20"/>
        </w:rPr>
      </w:pPr>
      <w:r w:rsidRPr="005254AB">
        <w:rPr>
          <w:rFonts w:asciiTheme="majorBidi" w:eastAsia="Times New Roman" w:hAnsiTheme="majorBidi" w:cstheme="majorBidi"/>
          <w:sz w:val="20"/>
          <w:szCs w:val="20"/>
        </w:rPr>
        <w:t>1.</w:t>
      </w:r>
      <w:r w:rsidR="00482E8E" w:rsidRPr="005254AB">
        <w:rPr>
          <w:rFonts w:asciiTheme="majorBidi" w:eastAsia="Times New Roman" w:hAnsiTheme="majorBidi" w:cstheme="majorBidi"/>
          <w:sz w:val="20"/>
          <w:szCs w:val="20"/>
        </w:rPr>
        <w:t xml:space="preserve"> Personal data: Name, age, sex, </w:t>
      </w:r>
      <w:r w:rsidR="005254AB">
        <w:rPr>
          <w:rFonts w:asciiTheme="majorBidi" w:eastAsia="Times New Roman" w:hAnsiTheme="majorBidi" w:cstheme="majorBidi"/>
          <w:sz w:val="20"/>
          <w:szCs w:val="20"/>
        </w:rPr>
        <w:t xml:space="preserve">  </w:t>
      </w:r>
      <w:r w:rsidR="00482E8E" w:rsidRPr="005254AB">
        <w:rPr>
          <w:rFonts w:asciiTheme="majorBidi" w:eastAsia="Times New Roman" w:hAnsiTheme="majorBidi" w:cstheme="majorBidi"/>
          <w:sz w:val="20"/>
          <w:szCs w:val="20"/>
        </w:rPr>
        <w:t>occupation, address.</w:t>
      </w:r>
    </w:p>
    <w:p w:rsidR="00482E8E" w:rsidRPr="005254AB" w:rsidRDefault="000F34FC" w:rsidP="005254AB">
      <w:pPr>
        <w:bidi w:val="0"/>
        <w:spacing w:after="0" w:line="240" w:lineRule="auto"/>
        <w:ind w:left="630" w:hanging="270"/>
        <w:jc w:val="both"/>
        <w:rPr>
          <w:rFonts w:asciiTheme="majorBidi" w:eastAsia="Times New Roman" w:hAnsiTheme="majorBidi" w:cstheme="majorBidi"/>
          <w:sz w:val="20"/>
          <w:szCs w:val="20"/>
          <w:lang w:bidi="ar-EG"/>
        </w:rPr>
      </w:pPr>
      <w:r w:rsidRPr="005254AB">
        <w:rPr>
          <w:rFonts w:asciiTheme="majorBidi" w:eastAsia="Times New Roman" w:hAnsiTheme="majorBidi" w:cstheme="majorBidi"/>
          <w:sz w:val="20"/>
          <w:szCs w:val="20"/>
          <w:lang w:bidi="ar-EG"/>
        </w:rPr>
        <w:t>2.</w:t>
      </w:r>
      <w:r w:rsidR="00482E8E" w:rsidRPr="005254AB">
        <w:rPr>
          <w:rFonts w:asciiTheme="majorBidi" w:eastAsia="Times New Roman" w:hAnsiTheme="majorBidi" w:cstheme="majorBidi"/>
          <w:sz w:val="20"/>
          <w:szCs w:val="20"/>
          <w:lang w:eastAsia="ar-SA"/>
        </w:rPr>
        <w:t xml:space="preserve"> </w:t>
      </w:r>
      <w:r w:rsidR="00482E8E" w:rsidRPr="005254AB">
        <w:rPr>
          <w:rFonts w:asciiTheme="majorBidi" w:eastAsia="Times New Roman" w:hAnsiTheme="majorBidi" w:cstheme="majorBidi"/>
          <w:sz w:val="20"/>
          <w:szCs w:val="20"/>
          <w:lang w:bidi="ar-EG"/>
        </w:rPr>
        <w:t>Past history of previous interventions.</w:t>
      </w:r>
    </w:p>
    <w:p w:rsidR="00482E8E" w:rsidRPr="005254AB" w:rsidRDefault="000F34FC" w:rsidP="005254AB">
      <w:pPr>
        <w:bidi w:val="0"/>
        <w:spacing w:after="0" w:line="240" w:lineRule="auto"/>
        <w:ind w:left="630" w:hanging="270"/>
        <w:jc w:val="both"/>
        <w:rPr>
          <w:rFonts w:asciiTheme="majorBidi" w:hAnsiTheme="majorBidi" w:cstheme="majorBidi"/>
          <w:sz w:val="20"/>
          <w:szCs w:val="20"/>
        </w:rPr>
      </w:pPr>
      <w:r w:rsidRPr="005254AB">
        <w:rPr>
          <w:rFonts w:asciiTheme="majorBidi" w:hAnsiTheme="majorBidi" w:cstheme="majorBidi"/>
          <w:sz w:val="20"/>
          <w:szCs w:val="20"/>
        </w:rPr>
        <w:t xml:space="preserve">3. </w:t>
      </w:r>
      <w:r w:rsidR="00482E8E" w:rsidRPr="005254AB">
        <w:rPr>
          <w:rFonts w:asciiTheme="majorBidi" w:hAnsiTheme="majorBidi" w:cstheme="majorBidi"/>
          <w:sz w:val="20"/>
          <w:szCs w:val="20"/>
        </w:rPr>
        <w:t xml:space="preserve">Hospital diagnosis </w:t>
      </w:r>
    </w:p>
    <w:p w:rsidR="00482E8E" w:rsidRPr="005254AB" w:rsidRDefault="000F34FC" w:rsidP="005254AB">
      <w:pPr>
        <w:bidi w:val="0"/>
        <w:spacing w:after="0" w:line="240" w:lineRule="auto"/>
        <w:ind w:left="630" w:hanging="270"/>
        <w:jc w:val="both"/>
        <w:rPr>
          <w:rFonts w:asciiTheme="majorBidi" w:hAnsiTheme="majorBidi" w:cstheme="majorBidi"/>
          <w:sz w:val="20"/>
          <w:szCs w:val="20"/>
        </w:rPr>
      </w:pPr>
      <w:r w:rsidRPr="005254AB">
        <w:rPr>
          <w:rFonts w:asciiTheme="majorBidi" w:hAnsiTheme="majorBidi" w:cstheme="majorBidi"/>
          <w:sz w:val="20"/>
          <w:szCs w:val="20"/>
        </w:rPr>
        <w:t xml:space="preserve">4. </w:t>
      </w:r>
      <w:r w:rsidR="00482E8E" w:rsidRPr="005254AB">
        <w:rPr>
          <w:rFonts w:asciiTheme="majorBidi" w:hAnsiTheme="majorBidi" w:cstheme="majorBidi"/>
          <w:sz w:val="20"/>
          <w:szCs w:val="20"/>
        </w:rPr>
        <w:t xml:space="preserve">Date of admission in hospital </w:t>
      </w:r>
    </w:p>
    <w:p w:rsidR="00482E8E" w:rsidRPr="005254AB" w:rsidRDefault="000F34FC" w:rsidP="005254AB">
      <w:pPr>
        <w:bidi w:val="0"/>
        <w:spacing w:after="0" w:line="240" w:lineRule="auto"/>
        <w:ind w:left="630" w:hanging="270"/>
        <w:jc w:val="both"/>
        <w:rPr>
          <w:rFonts w:asciiTheme="majorBidi" w:hAnsiTheme="majorBidi" w:cstheme="majorBidi"/>
          <w:sz w:val="20"/>
          <w:szCs w:val="20"/>
        </w:rPr>
      </w:pPr>
      <w:r w:rsidRPr="005254AB">
        <w:rPr>
          <w:rFonts w:asciiTheme="majorBidi" w:hAnsiTheme="majorBidi" w:cstheme="majorBidi"/>
          <w:sz w:val="20"/>
          <w:szCs w:val="20"/>
        </w:rPr>
        <w:t xml:space="preserve">5. </w:t>
      </w:r>
      <w:r w:rsidR="00482E8E" w:rsidRPr="005254AB">
        <w:rPr>
          <w:rFonts w:asciiTheme="majorBidi" w:hAnsiTheme="majorBidi" w:cstheme="majorBidi"/>
          <w:sz w:val="20"/>
          <w:szCs w:val="20"/>
        </w:rPr>
        <w:t xml:space="preserve">Medical &amp; Past history </w:t>
      </w:r>
    </w:p>
    <w:p w:rsidR="00482E8E" w:rsidRPr="005254AB" w:rsidRDefault="00482E8E" w:rsidP="000F34FC">
      <w:pPr>
        <w:bidi w:val="0"/>
        <w:spacing w:after="0" w:line="240" w:lineRule="auto"/>
        <w:ind w:firstLine="540"/>
        <w:jc w:val="both"/>
        <w:rPr>
          <w:rFonts w:asciiTheme="majorBidi" w:eastAsia="Times New Roman" w:hAnsiTheme="majorBidi" w:cstheme="majorBidi"/>
          <w:sz w:val="20"/>
          <w:szCs w:val="20"/>
          <w:lang w:bidi="ar-EG"/>
        </w:rPr>
      </w:pPr>
    </w:p>
    <w:p w:rsidR="00482E8E" w:rsidRPr="005254AB" w:rsidRDefault="00482E8E" w:rsidP="000F34FC">
      <w:pPr>
        <w:numPr>
          <w:ilvl w:val="0"/>
          <w:numId w:val="2"/>
        </w:numPr>
        <w:bidi w:val="0"/>
        <w:spacing w:after="0" w:line="240" w:lineRule="auto"/>
        <w:ind w:hanging="270"/>
        <w:jc w:val="both"/>
        <w:rPr>
          <w:rFonts w:asciiTheme="majorBidi" w:eastAsia="Times New Roman" w:hAnsiTheme="majorBidi" w:cstheme="majorBidi"/>
          <w:b/>
          <w:bCs/>
          <w:sz w:val="20"/>
          <w:szCs w:val="20"/>
        </w:rPr>
      </w:pPr>
      <w:r w:rsidRPr="005254AB">
        <w:rPr>
          <w:rFonts w:asciiTheme="majorBidi" w:eastAsia="Times New Roman" w:hAnsiTheme="majorBidi" w:cstheme="majorBidi"/>
          <w:b/>
          <w:bCs/>
          <w:sz w:val="20"/>
          <w:szCs w:val="20"/>
        </w:rPr>
        <w:t>Careful clinical examination :</w:t>
      </w:r>
    </w:p>
    <w:p w:rsidR="00482E8E" w:rsidRPr="005254AB" w:rsidRDefault="00482E8E" w:rsidP="000F34FC">
      <w:pPr>
        <w:numPr>
          <w:ilvl w:val="0"/>
          <w:numId w:val="3"/>
        </w:numPr>
        <w:bidi w:val="0"/>
        <w:spacing w:after="0" w:line="240" w:lineRule="auto"/>
        <w:ind w:left="0" w:firstLine="540"/>
        <w:jc w:val="both"/>
        <w:rPr>
          <w:rFonts w:asciiTheme="majorBidi" w:eastAsia="Times New Roman" w:hAnsiTheme="majorBidi" w:cstheme="majorBidi"/>
          <w:sz w:val="20"/>
          <w:szCs w:val="20"/>
        </w:rPr>
      </w:pPr>
      <w:r w:rsidRPr="005254AB">
        <w:rPr>
          <w:rFonts w:asciiTheme="majorBidi" w:eastAsia="Times New Roman" w:hAnsiTheme="majorBidi" w:cstheme="majorBidi"/>
          <w:b/>
          <w:bCs/>
          <w:sz w:val="20"/>
          <w:szCs w:val="20"/>
        </w:rPr>
        <w:t>General</w:t>
      </w:r>
      <w:r w:rsidRPr="005254AB">
        <w:rPr>
          <w:rFonts w:asciiTheme="majorBidi" w:eastAsia="Times New Roman" w:hAnsiTheme="majorBidi" w:cstheme="majorBidi"/>
          <w:sz w:val="20"/>
          <w:szCs w:val="20"/>
        </w:rPr>
        <w:t xml:space="preserve"> :</w:t>
      </w:r>
    </w:p>
    <w:p w:rsidR="00482E8E" w:rsidRPr="005254AB" w:rsidRDefault="00482E8E" w:rsidP="005254AB">
      <w:pPr>
        <w:numPr>
          <w:ilvl w:val="0"/>
          <w:numId w:val="4"/>
        </w:numPr>
        <w:tabs>
          <w:tab w:val="left" w:pos="2858"/>
          <w:tab w:val="right" w:pos="8306"/>
        </w:tabs>
        <w:bidi w:val="0"/>
        <w:spacing w:after="0" w:line="240" w:lineRule="auto"/>
        <w:ind w:left="270" w:hanging="180"/>
        <w:jc w:val="both"/>
        <w:rPr>
          <w:rFonts w:asciiTheme="majorBidi" w:hAnsiTheme="majorBidi" w:cstheme="majorBidi"/>
          <w:sz w:val="20"/>
          <w:szCs w:val="20"/>
          <w:lang w:bidi="ar-EG"/>
        </w:rPr>
      </w:pPr>
      <w:r w:rsidRPr="005254AB">
        <w:rPr>
          <w:rFonts w:asciiTheme="majorBidi" w:hAnsiTheme="majorBidi" w:cstheme="majorBidi"/>
          <w:b/>
          <w:bCs/>
          <w:sz w:val="20"/>
          <w:szCs w:val="20"/>
          <w:lang w:bidi="ar-EG"/>
        </w:rPr>
        <w:t>Vital signs</w:t>
      </w:r>
      <w:r w:rsidRPr="005254AB">
        <w:rPr>
          <w:rFonts w:asciiTheme="majorBidi" w:hAnsiTheme="majorBidi" w:cstheme="majorBidi"/>
          <w:sz w:val="20"/>
          <w:szCs w:val="20"/>
          <w:lang w:bidi="ar-EG"/>
        </w:rPr>
        <w:t xml:space="preserve"> (Blood pressure, Temperature, Heart rate, Respiratory rate),</w:t>
      </w:r>
      <w:r w:rsidRPr="005254AB">
        <w:rPr>
          <w:rFonts w:asciiTheme="majorBidi" w:hAnsiTheme="majorBidi" w:cstheme="majorBidi"/>
          <w:b/>
          <w:bCs/>
          <w:sz w:val="20"/>
          <w:szCs w:val="20"/>
          <w:lang w:bidi="ar-EG"/>
        </w:rPr>
        <w:t xml:space="preserve"> </w:t>
      </w:r>
    </w:p>
    <w:p w:rsidR="00482E8E" w:rsidRPr="005254AB" w:rsidRDefault="00482E8E" w:rsidP="005254AB">
      <w:pPr>
        <w:numPr>
          <w:ilvl w:val="0"/>
          <w:numId w:val="4"/>
        </w:numPr>
        <w:tabs>
          <w:tab w:val="left" w:pos="2858"/>
          <w:tab w:val="right" w:pos="8306"/>
        </w:tabs>
        <w:bidi w:val="0"/>
        <w:spacing w:after="0" w:line="240" w:lineRule="auto"/>
        <w:ind w:left="270" w:hanging="180"/>
        <w:jc w:val="both"/>
        <w:rPr>
          <w:rFonts w:asciiTheme="majorBidi" w:hAnsiTheme="majorBidi" w:cstheme="majorBidi"/>
          <w:sz w:val="20"/>
          <w:szCs w:val="20"/>
          <w:lang w:bidi="ar-EG"/>
        </w:rPr>
      </w:pPr>
      <w:r w:rsidRPr="005254AB">
        <w:rPr>
          <w:rFonts w:asciiTheme="majorBidi" w:hAnsiTheme="majorBidi" w:cstheme="majorBidi"/>
          <w:b/>
          <w:bCs/>
          <w:sz w:val="20"/>
          <w:szCs w:val="20"/>
          <w:lang w:bidi="ar-EG"/>
        </w:rPr>
        <w:lastRenderedPageBreak/>
        <w:t>Signs of</w:t>
      </w:r>
      <w:r w:rsidRPr="005254AB">
        <w:rPr>
          <w:rFonts w:asciiTheme="majorBidi" w:hAnsiTheme="majorBidi" w:cstheme="majorBidi"/>
          <w:sz w:val="20"/>
          <w:szCs w:val="20"/>
          <w:lang w:bidi="ar-EG"/>
        </w:rPr>
        <w:t xml:space="preserve"> (Pallor, Cyanosis, Jaundice, and Lymph node enlargement).</w:t>
      </w:r>
    </w:p>
    <w:p w:rsidR="00482E8E" w:rsidRPr="005254AB" w:rsidRDefault="00482E8E" w:rsidP="005254AB">
      <w:pPr>
        <w:numPr>
          <w:ilvl w:val="0"/>
          <w:numId w:val="4"/>
        </w:numPr>
        <w:tabs>
          <w:tab w:val="left" w:pos="2858"/>
          <w:tab w:val="right" w:pos="8306"/>
        </w:tabs>
        <w:bidi w:val="0"/>
        <w:spacing w:after="0" w:line="240" w:lineRule="auto"/>
        <w:ind w:left="270" w:hanging="180"/>
        <w:jc w:val="both"/>
        <w:rPr>
          <w:rFonts w:asciiTheme="majorBidi" w:hAnsiTheme="majorBidi" w:cstheme="majorBidi"/>
          <w:sz w:val="20"/>
          <w:szCs w:val="20"/>
          <w:lang w:bidi="ar-EG"/>
        </w:rPr>
      </w:pPr>
      <w:r w:rsidRPr="005254AB">
        <w:rPr>
          <w:rFonts w:asciiTheme="majorBidi" w:hAnsiTheme="majorBidi" w:cstheme="majorBidi"/>
          <w:b/>
          <w:bCs/>
          <w:sz w:val="20"/>
          <w:szCs w:val="20"/>
          <w:lang w:bidi="ar-EG"/>
        </w:rPr>
        <w:t>BMI</w:t>
      </w:r>
    </w:p>
    <w:p w:rsidR="00482E8E" w:rsidRPr="005254AB" w:rsidRDefault="00482E8E" w:rsidP="000F34FC">
      <w:pPr>
        <w:tabs>
          <w:tab w:val="left" w:pos="2858"/>
          <w:tab w:val="right" w:pos="8306"/>
        </w:tabs>
        <w:bidi w:val="0"/>
        <w:spacing w:after="0" w:line="240" w:lineRule="auto"/>
        <w:ind w:firstLine="540"/>
        <w:rPr>
          <w:rFonts w:asciiTheme="majorBidi" w:hAnsiTheme="majorBidi" w:cstheme="majorBidi"/>
          <w:sz w:val="20"/>
          <w:szCs w:val="20"/>
          <w:lang w:bidi="ar-EG"/>
        </w:rPr>
      </w:pPr>
      <w:r w:rsidRPr="005254AB">
        <w:rPr>
          <w:rFonts w:asciiTheme="majorBidi" w:hAnsiTheme="majorBidi" w:cstheme="majorBidi"/>
          <w:noProof/>
          <w:sz w:val="20"/>
          <w:szCs w:val="20"/>
        </w:rPr>
        <w:drawing>
          <wp:inline distT="0" distB="0" distL="0" distR="0" wp14:anchorId="372460D1" wp14:editId="09A2F30B">
            <wp:extent cx="1454785"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54785" cy="365760"/>
                    </a:xfrm>
                    <a:prstGeom prst="rect">
                      <a:avLst/>
                    </a:prstGeom>
                    <a:noFill/>
                    <a:ln>
                      <a:noFill/>
                    </a:ln>
                  </pic:spPr>
                </pic:pic>
              </a:graphicData>
            </a:graphic>
          </wp:inline>
        </w:drawing>
      </w:r>
    </w:p>
    <w:p w:rsidR="00482E8E" w:rsidRPr="005254AB" w:rsidRDefault="00482E8E" w:rsidP="000F34FC">
      <w:pPr>
        <w:tabs>
          <w:tab w:val="left" w:pos="0"/>
        </w:tabs>
        <w:bidi w:val="0"/>
        <w:spacing w:after="0" w:line="240" w:lineRule="auto"/>
        <w:jc w:val="both"/>
        <w:rPr>
          <w:rFonts w:asciiTheme="majorBidi" w:eastAsia="Times New Roman" w:hAnsiTheme="majorBidi" w:cstheme="majorBidi"/>
          <w:b/>
          <w:bCs/>
          <w:sz w:val="20"/>
          <w:szCs w:val="20"/>
        </w:rPr>
      </w:pPr>
      <w:r w:rsidRPr="005254AB">
        <w:rPr>
          <w:rFonts w:asciiTheme="majorBidi" w:eastAsia="Times New Roman" w:hAnsiTheme="majorBidi" w:cstheme="majorBidi"/>
          <w:b/>
          <w:bCs/>
          <w:sz w:val="20"/>
          <w:szCs w:val="20"/>
        </w:rPr>
        <w:t>3-Investigations:</w:t>
      </w:r>
    </w:p>
    <w:p w:rsidR="00482E8E" w:rsidRPr="005254AB" w:rsidRDefault="00482E8E" w:rsidP="005254AB">
      <w:pPr>
        <w:numPr>
          <w:ilvl w:val="0"/>
          <w:numId w:val="9"/>
        </w:numPr>
        <w:bidi w:val="0"/>
        <w:spacing w:after="0" w:line="240" w:lineRule="auto"/>
        <w:ind w:left="360" w:hanging="270"/>
        <w:jc w:val="both"/>
        <w:rPr>
          <w:rFonts w:asciiTheme="majorBidi" w:eastAsia="Times New Roman" w:hAnsiTheme="majorBidi" w:cstheme="majorBidi"/>
          <w:b/>
          <w:bCs/>
          <w:sz w:val="20"/>
          <w:szCs w:val="20"/>
        </w:rPr>
      </w:pPr>
      <w:r w:rsidRPr="005254AB">
        <w:rPr>
          <w:rFonts w:asciiTheme="majorBidi" w:hAnsiTheme="majorBidi" w:cstheme="majorBidi"/>
          <w:b/>
          <w:bCs/>
          <w:sz w:val="20"/>
          <w:szCs w:val="20"/>
          <w:lang w:bidi="ar-EG"/>
        </w:rPr>
        <w:t>Laboratory</w:t>
      </w:r>
      <w:r w:rsidRPr="005254AB">
        <w:rPr>
          <w:rFonts w:asciiTheme="majorBidi" w:eastAsia="Times New Roman" w:hAnsiTheme="majorBidi" w:cstheme="majorBidi"/>
          <w:b/>
          <w:bCs/>
          <w:sz w:val="20"/>
          <w:szCs w:val="20"/>
        </w:rPr>
        <w:t>:</w:t>
      </w:r>
    </w:p>
    <w:p w:rsidR="00482E8E" w:rsidRPr="005254AB" w:rsidRDefault="00482E8E" w:rsidP="000F34FC">
      <w:pPr>
        <w:numPr>
          <w:ilvl w:val="0"/>
          <w:numId w:val="5"/>
        </w:numPr>
        <w:tabs>
          <w:tab w:val="left" w:pos="540"/>
        </w:tabs>
        <w:bidi w:val="0"/>
        <w:spacing w:after="0" w:line="240" w:lineRule="auto"/>
        <w:ind w:left="540" w:hanging="270"/>
        <w:jc w:val="both"/>
        <w:rPr>
          <w:rFonts w:asciiTheme="majorBidi" w:eastAsiaTheme="minorHAnsi" w:hAnsiTheme="majorBidi" w:cstheme="majorBidi"/>
          <w:sz w:val="20"/>
          <w:szCs w:val="20"/>
          <w:lang w:bidi="ar-EG"/>
        </w:rPr>
      </w:pPr>
      <w:r w:rsidRPr="005254AB">
        <w:rPr>
          <w:rFonts w:asciiTheme="majorBidi" w:eastAsiaTheme="minorHAnsi" w:hAnsiTheme="majorBidi" w:cstheme="majorBidi"/>
          <w:b/>
          <w:bCs/>
          <w:sz w:val="20"/>
          <w:szCs w:val="20"/>
          <w:lang w:bidi="ar-EG"/>
        </w:rPr>
        <w:t xml:space="preserve">Complete blood picture (CBC): </w:t>
      </w:r>
      <w:r w:rsidRPr="005254AB">
        <w:rPr>
          <w:rFonts w:asciiTheme="majorBidi" w:eastAsiaTheme="minorHAnsi" w:hAnsiTheme="majorBidi" w:cstheme="majorBidi"/>
          <w:sz w:val="20"/>
          <w:szCs w:val="20"/>
          <w:lang w:bidi="ar-EG"/>
        </w:rPr>
        <w:t>hemoglobin concentration (Hb %), red blood cells (RBCs), white blood cells (WBCs), platelet count.</w:t>
      </w:r>
      <w:r w:rsidRPr="005254AB">
        <w:rPr>
          <w:rFonts w:asciiTheme="majorBidi" w:eastAsiaTheme="minorHAnsi" w:hAnsiTheme="majorBidi" w:cstheme="majorBidi"/>
          <w:b/>
          <w:bCs/>
          <w:sz w:val="20"/>
          <w:szCs w:val="20"/>
          <w:lang w:bidi="ar-EG"/>
        </w:rPr>
        <w:t xml:space="preserve"> </w:t>
      </w:r>
    </w:p>
    <w:p w:rsidR="00482E8E" w:rsidRPr="005254AB" w:rsidRDefault="00482E8E" w:rsidP="000F34FC">
      <w:pPr>
        <w:numPr>
          <w:ilvl w:val="0"/>
          <w:numId w:val="5"/>
        </w:numPr>
        <w:tabs>
          <w:tab w:val="left" w:pos="540"/>
        </w:tabs>
        <w:bidi w:val="0"/>
        <w:spacing w:after="0" w:line="240" w:lineRule="auto"/>
        <w:ind w:left="540" w:hanging="270"/>
        <w:jc w:val="both"/>
        <w:rPr>
          <w:rFonts w:asciiTheme="majorBidi" w:eastAsiaTheme="minorHAnsi" w:hAnsiTheme="majorBidi" w:cstheme="majorBidi"/>
          <w:sz w:val="20"/>
          <w:szCs w:val="20"/>
          <w:lang w:bidi="ar-EG"/>
        </w:rPr>
      </w:pPr>
      <w:r w:rsidRPr="005254AB">
        <w:rPr>
          <w:rFonts w:asciiTheme="majorBidi" w:eastAsiaTheme="minorHAnsi" w:hAnsiTheme="majorBidi" w:cstheme="majorBidi"/>
          <w:b/>
          <w:bCs/>
          <w:sz w:val="20"/>
          <w:szCs w:val="20"/>
          <w:lang w:bidi="ar-EG"/>
        </w:rPr>
        <w:t xml:space="preserve">Renal function test: </w:t>
      </w:r>
      <w:r w:rsidRPr="005254AB">
        <w:rPr>
          <w:rFonts w:asciiTheme="majorBidi" w:eastAsiaTheme="minorHAnsi" w:hAnsiTheme="majorBidi" w:cstheme="majorBidi"/>
          <w:sz w:val="20"/>
          <w:szCs w:val="20"/>
          <w:lang w:bidi="ar-EG"/>
        </w:rPr>
        <w:t xml:space="preserve"> serum creatinine, blood urea and urine analysis.</w:t>
      </w:r>
      <w:r w:rsidRPr="005254AB">
        <w:rPr>
          <w:rFonts w:asciiTheme="majorBidi" w:eastAsiaTheme="minorHAnsi" w:hAnsiTheme="majorBidi" w:cstheme="majorBidi"/>
          <w:sz w:val="20"/>
          <w:szCs w:val="20"/>
          <w:vertAlign w:val="superscript"/>
          <w:lang w:bidi="ar-EG"/>
        </w:rPr>
        <w:t xml:space="preserve"> </w:t>
      </w:r>
    </w:p>
    <w:p w:rsidR="00482E8E" w:rsidRPr="005254AB" w:rsidRDefault="00482E8E" w:rsidP="000F34FC">
      <w:pPr>
        <w:numPr>
          <w:ilvl w:val="0"/>
          <w:numId w:val="5"/>
        </w:numPr>
        <w:tabs>
          <w:tab w:val="left" w:pos="540"/>
        </w:tabs>
        <w:bidi w:val="0"/>
        <w:spacing w:after="0" w:line="240" w:lineRule="auto"/>
        <w:ind w:left="540" w:hanging="270"/>
        <w:jc w:val="both"/>
        <w:rPr>
          <w:rFonts w:asciiTheme="majorBidi" w:eastAsiaTheme="minorHAnsi" w:hAnsiTheme="majorBidi" w:cstheme="majorBidi"/>
          <w:sz w:val="20"/>
          <w:szCs w:val="20"/>
          <w:lang w:bidi="ar-EG"/>
        </w:rPr>
      </w:pPr>
      <w:r w:rsidRPr="005254AB">
        <w:rPr>
          <w:rFonts w:asciiTheme="majorBidi" w:eastAsiaTheme="minorHAnsi" w:hAnsiTheme="majorBidi" w:cstheme="majorBidi"/>
          <w:b/>
          <w:bCs/>
          <w:sz w:val="20"/>
          <w:szCs w:val="20"/>
          <w:lang w:bidi="ar-EG"/>
        </w:rPr>
        <w:t>Liver Test Profile:</w:t>
      </w:r>
      <w:r w:rsidRPr="005254AB">
        <w:rPr>
          <w:rFonts w:asciiTheme="majorBidi" w:eastAsiaTheme="minorHAnsi" w:hAnsiTheme="majorBidi" w:cstheme="majorBidi"/>
          <w:sz w:val="20"/>
          <w:szCs w:val="20"/>
          <w:lang w:bidi="ar-EG"/>
        </w:rPr>
        <w:t xml:space="preserve"> Serum aspartate and alanine  aminotransferases  (AST and ALT), serum albumin, serum bilirubin, serum gamma-glutamyl  transferase (GGT),  prothrombin time and international normalized ratio (INR).</w:t>
      </w:r>
      <w:r w:rsidRPr="005254AB">
        <w:rPr>
          <w:rFonts w:asciiTheme="majorBidi" w:eastAsiaTheme="minorHAnsi" w:hAnsiTheme="majorBidi" w:cstheme="majorBidi"/>
          <w:sz w:val="20"/>
          <w:szCs w:val="20"/>
          <w:vertAlign w:val="superscript"/>
          <w:lang w:bidi="ar-EG"/>
        </w:rPr>
        <w:t xml:space="preserve"> </w:t>
      </w:r>
    </w:p>
    <w:p w:rsidR="00482E8E" w:rsidRPr="005254AB" w:rsidRDefault="00482E8E" w:rsidP="000F34FC">
      <w:pPr>
        <w:numPr>
          <w:ilvl w:val="0"/>
          <w:numId w:val="5"/>
        </w:numPr>
        <w:tabs>
          <w:tab w:val="left" w:pos="540"/>
        </w:tabs>
        <w:bidi w:val="0"/>
        <w:spacing w:after="0" w:line="240" w:lineRule="auto"/>
        <w:ind w:left="540" w:hanging="270"/>
        <w:jc w:val="both"/>
        <w:rPr>
          <w:rFonts w:asciiTheme="majorBidi" w:hAnsiTheme="majorBidi" w:cstheme="majorBidi"/>
          <w:sz w:val="20"/>
          <w:szCs w:val="20"/>
        </w:rPr>
      </w:pPr>
      <w:r w:rsidRPr="005254AB">
        <w:rPr>
          <w:rFonts w:asciiTheme="majorBidi" w:hAnsiTheme="majorBidi" w:cstheme="majorBidi"/>
          <w:b/>
          <w:bCs/>
          <w:sz w:val="20"/>
          <w:szCs w:val="20"/>
        </w:rPr>
        <w:t>Lipid profile (</w:t>
      </w:r>
      <w:r w:rsidRPr="005254AB">
        <w:rPr>
          <w:rFonts w:asciiTheme="majorBidi" w:hAnsiTheme="majorBidi" w:cstheme="majorBidi"/>
          <w:sz w:val="20"/>
          <w:szCs w:val="20"/>
        </w:rPr>
        <w:t>Total lipids, Serum total cholesterol, serum HDL cholesterol, Total cholesterol/HDL cholesterol ratio, Serum triglycerides, Serum Phospholipids, LDL, VLDL, HDL</w:t>
      </w:r>
      <w:r w:rsidRPr="005254AB">
        <w:rPr>
          <w:rFonts w:asciiTheme="majorBidi" w:hAnsiTheme="majorBidi" w:cstheme="majorBidi"/>
          <w:b/>
          <w:bCs/>
          <w:sz w:val="20"/>
          <w:szCs w:val="20"/>
        </w:rPr>
        <w:t>).</w:t>
      </w:r>
    </w:p>
    <w:p w:rsidR="00482E8E" w:rsidRPr="005254AB" w:rsidRDefault="00482E8E" w:rsidP="005254AB">
      <w:pPr>
        <w:numPr>
          <w:ilvl w:val="0"/>
          <w:numId w:val="4"/>
        </w:numPr>
        <w:tabs>
          <w:tab w:val="left" w:pos="2858"/>
          <w:tab w:val="right" w:pos="8306"/>
        </w:tabs>
        <w:bidi w:val="0"/>
        <w:spacing w:after="0" w:line="240" w:lineRule="auto"/>
        <w:ind w:left="270" w:hanging="180"/>
        <w:jc w:val="both"/>
        <w:rPr>
          <w:rFonts w:asciiTheme="majorBidi" w:hAnsiTheme="majorBidi" w:cstheme="majorBidi"/>
          <w:b/>
          <w:bCs/>
          <w:sz w:val="20"/>
          <w:szCs w:val="20"/>
          <w:lang w:bidi="ar-EG"/>
        </w:rPr>
      </w:pPr>
      <w:r w:rsidRPr="005254AB">
        <w:rPr>
          <w:rFonts w:asciiTheme="majorBidi" w:hAnsiTheme="majorBidi" w:cstheme="majorBidi"/>
          <w:b/>
          <w:bCs/>
          <w:sz w:val="20"/>
          <w:szCs w:val="20"/>
          <w:lang w:bidi="ar-EG"/>
        </w:rPr>
        <w:t>Imaging:</w:t>
      </w:r>
    </w:p>
    <w:p w:rsidR="00482E8E" w:rsidRPr="005254AB" w:rsidRDefault="00482E8E" w:rsidP="000F34FC">
      <w:pPr>
        <w:numPr>
          <w:ilvl w:val="0"/>
          <w:numId w:val="5"/>
        </w:numPr>
        <w:tabs>
          <w:tab w:val="left" w:pos="540"/>
        </w:tabs>
        <w:bidi w:val="0"/>
        <w:spacing w:after="0" w:line="240" w:lineRule="auto"/>
        <w:ind w:left="540" w:hanging="270"/>
        <w:jc w:val="both"/>
        <w:rPr>
          <w:rFonts w:asciiTheme="majorBidi" w:eastAsiaTheme="minorHAnsi" w:hAnsiTheme="majorBidi" w:cstheme="majorBidi"/>
          <w:b/>
          <w:bCs/>
          <w:sz w:val="20"/>
          <w:szCs w:val="20"/>
          <w:lang w:bidi="ar-EG"/>
        </w:rPr>
      </w:pPr>
      <w:proofErr w:type="spellStart"/>
      <w:r w:rsidRPr="005254AB">
        <w:rPr>
          <w:rFonts w:asciiTheme="majorBidi" w:eastAsiaTheme="minorHAnsi" w:hAnsiTheme="majorBidi" w:cstheme="majorBidi"/>
          <w:b/>
          <w:bCs/>
          <w:sz w:val="20"/>
          <w:szCs w:val="20"/>
          <w:lang w:bidi="ar-EG"/>
        </w:rPr>
        <w:t>Pelvi</w:t>
      </w:r>
      <w:proofErr w:type="spellEnd"/>
      <w:r w:rsidRPr="005254AB">
        <w:rPr>
          <w:rFonts w:asciiTheme="majorBidi" w:eastAsiaTheme="minorHAnsi" w:hAnsiTheme="majorBidi" w:cstheme="majorBidi"/>
          <w:b/>
          <w:bCs/>
          <w:sz w:val="20"/>
          <w:szCs w:val="20"/>
          <w:lang w:bidi="ar-EG"/>
        </w:rPr>
        <w:t>-abdominal US.</w:t>
      </w:r>
    </w:p>
    <w:p w:rsidR="00482E8E" w:rsidRPr="005254AB" w:rsidRDefault="00482E8E" w:rsidP="000F34FC">
      <w:pPr>
        <w:numPr>
          <w:ilvl w:val="0"/>
          <w:numId w:val="5"/>
        </w:numPr>
        <w:tabs>
          <w:tab w:val="left" w:pos="540"/>
        </w:tabs>
        <w:bidi w:val="0"/>
        <w:spacing w:after="0" w:line="240" w:lineRule="auto"/>
        <w:ind w:left="540" w:hanging="270"/>
        <w:jc w:val="both"/>
        <w:rPr>
          <w:rFonts w:asciiTheme="majorBidi" w:eastAsiaTheme="minorHAnsi" w:hAnsiTheme="majorBidi" w:cstheme="majorBidi"/>
          <w:b/>
          <w:bCs/>
          <w:sz w:val="20"/>
          <w:szCs w:val="20"/>
          <w:lang w:bidi="ar-EG"/>
        </w:rPr>
      </w:pPr>
      <w:r w:rsidRPr="005254AB">
        <w:rPr>
          <w:rFonts w:asciiTheme="majorBidi" w:eastAsiaTheme="minorHAnsi" w:hAnsiTheme="majorBidi" w:cstheme="majorBidi"/>
          <w:b/>
          <w:bCs/>
          <w:sz w:val="20"/>
          <w:szCs w:val="20"/>
          <w:lang w:bidi="ar-EG"/>
        </w:rPr>
        <w:t xml:space="preserve">CT </w:t>
      </w:r>
      <w:proofErr w:type="spellStart"/>
      <w:r w:rsidRPr="005254AB">
        <w:rPr>
          <w:rFonts w:asciiTheme="majorBidi" w:eastAsiaTheme="minorHAnsi" w:hAnsiTheme="majorBidi" w:cstheme="majorBidi"/>
          <w:b/>
          <w:bCs/>
          <w:sz w:val="20"/>
          <w:szCs w:val="20"/>
          <w:lang w:bidi="ar-EG"/>
        </w:rPr>
        <w:t>pelvi</w:t>
      </w:r>
      <w:proofErr w:type="spellEnd"/>
      <w:r w:rsidRPr="005254AB">
        <w:rPr>
          <w:rFonts w:asciiTheme="majorBidi" w:eastAsiaTheme="minorHAnsi" w:hAnsiTheme="majorBidi" w:cstheme="majorBidi"/>
          <w:b/>
          <w:bCs/>
          <w:sz w:val="20"/>
          <w:szCs w:val="20"/>
          <w:lang w:bidi="ar-EG"/>
        </w:rPr>
        <w:t>-abdominal  with contrast.</w:t>
      </w:r>
    </w:p>
    <w:p w:rsidR="00482E8E" w:rsidRPr="005254AB" w:rsidRDefault="00482E8E" w:rsidP="000F34FC">
      <w:pPr>
        <w:numPr>
          <w:ilvl w:val="0"/>
          <w:numId w:val="5"/>
        </w:numPr>
        <w:tabs>
          <w:tab w:val="left" w:pos="540"/>
        </w:tabs>
        <w:bidi w:val="0"/>
        <w:spacing w:after="0" w:line="240" w:lineRule="auto"/>
        <w:ind w:left="540" w:hanging="270"/>
        <w:jc w:val="both"/>
        <w:rPr>
          <w:rFonts w:asciiTheme="majorBidi" w:eastAsiaTheme="minorHAnsi" w:hAnsiTheme="majorBidi" w:cstheme="majorBidi"/>
          <w:b/>
          <w:bCs/>
          <w:sz w:val="20"/>
          <w:szCs w:val="20"/>
          <w:lang w:bidi="ar-EG"/>
        </w:rPr>
      </w:pPr>
      <w:r w:rsidRPr="005254AB">
        <w:rPr>
          <w:rFonts w:asciiTheme="majorBidi" w:eastAsiaTheme="minorHAnsi" w:hAnsiTheme="majorBidi" w:cstheme="majorBidi"/>
          <w:b/>
          <w:bCs/>
          <w:sz w:val="20"/>
          <w:szCs w:val="20"/>
          <w:lang w:bidi="ar-EG"/>
        </w:rPr>
        <w:t>Upper GI endoscope.</w:t>
      </w:r>
    </w:p>
    <w:p w:rsidR="00482E8E" w:rsidRPr="005254AB" w:rsidRDefault="00482E8E" w:rsidP="000F34FC">
      <w:pPr>
        <w:bidi w:val="0"/>
        <w:spacing w:after="0" w:line="240" w:lineRule="auto"/>
        <w:jc w:val="both"/>
        <w:rPr>
          <w:rFonts w:asciiTheme="majorBidi" w:eastAsia="Times New Roman" w:hAnsiTheme="majorBidi" w:cstheme="majorBidi"/>
          <w:b/>
          <w:bCs/>
          <w:sz w:val="20"/>
          <w:szCs w:val="20"/>
          <w:lang w:bidi="en-US"/>
        </w:rPr>
      </w:pPr>
      <w:r w:rsidRPr="005254AB">
        <w:rPr>
          <w:rFonts w:asciiTheme="majorBidi" w:eastAsia="Times New Roman" w:hAnsiTheme="majorBidi" w:cstheme="majorBidi"/>
          <w:b/>
          <w:bCs/>
          <w:sz w:val="20"/>
          <w:szCs w:val="20"/>
          <w:u w:val="single"/>
          <w:lang w:bidi="en-US"/>
        </w:rPr>
        <w:t>Surgical technique</w:t>
      </w:r>
      <w:r w:rsidRPr="005254AB">
        <w:rPr>
          <w:rFonts w:asciiTheme="majorBidi" w:eastAsia="Times New Roman" w:hAnsiTheme="majorBidi" w:cstheme="majorBidi"/>
          <w:b/>
          <w:bCs/>
          <w:sz w:val="20"/>
          <w:szCs w:val="20"/>
          <w:lang w:bidi="en-US"/>
        </w:rPr>
        <w:t xml:space="preserve">: </w:t>
      </w:r>
    </w:p>
    <w:p w:rsidR="00482E8E" w:rsidRPr="005254AB" w:rsidRDefault="00482E8E" w:rsidP="000F34FC">
      <w:pPr>
        <w:bidi w:val="0"/>
        <w:spacing w:after="0" w:line="240" w:lineRule="auto"/>
        <w:ind w:firstLine="540"/>
        <w:jc w:val="both"/>
        <w:rPr>
          <w:rFonts w:asciiTheme="majorBidi" w:hAnsiTheme="majorBidi" w:cstheme="majorBidi"/>
          <w:sz w:val="20"/>
          <w:szCs w:val="20"/>
        </w:rPr>
      </w:pPr>
      <w:r w:rsidRPr="005254AB">
        <w:rPr>
          <w:rFonts w:asciiTheme="majorBidi" w:hAnsiTheme="majorBidi" w:cstheme="majorBidi"/>
          <w:sz w:val="20"/>
          <w:szCs w:val="20"/>
        </w:rPr>
        <w:t xml:space="preserve">Parameters of the study included : </w:t>
      </w:r>
    </w:p>
    <w:p w:rsidR="00482E8E" w:rsidRPr="005254AB" w:rsidRDefault="00482E8E" w:rsidP="000F34FC">
      <w:pPr>
        <w:bidi w:val="0"/>
        <w:spacing w:after="0" w:line="240" w:lineRule="auto"/>
        <w:jc w:val="both"/>
        <w:rPr>
          <w:rFonts w:asciiTheme="majorBidi" w:hAnsiTheme="majorBidi" w:cstheme="majorBidi"/>
          <w:b/>
          <w:bCs/>
          <w:sz w:val="20"/>
          <w:szCs w:val="20"/>
        </w:rPr>
      </w:pPr>
      <w:r w:rsidRPr="005254AB">
        <w:rPr>
          <w:rFonts w:asciiTheme="majorBidi" w:hAnsiTheme="majorBidi" w:cstheme="majorBidi"/>
          <w:b/>
          <w:bCs/>
          <w:sz w:val="20"/>
          <w:szCs w:val="20"/>
        </w:rPr>
        <w:t xml:space="preserve">1 . Preoperative : </w:t>
      </w:r>
    </w:p>
    <w:p w:rsidR="00482E8E" w:rsidRPr="005254AB" w:rsidRDefault="00482E8E" w:rsidP="000F34FC">
      <w:pPr>
        <w:bidi w:val="0"/>
        <w:spacing w:after="0" w:line="240" w:lineRule="auto"/>
        <w:ind w:firstLine="540"/>
        <w:jc w:val="both"/>
        <w:rPr>
          <w:rFonts w:asciiTheme="majorBidi" w:hAnsiTheme="majorBidi" w:cstheme="majorBidi"/>
          <w:sz w:val="20"/>
          <w:szCs w:val="20"/>
        </w:rPr>
      </w:pPr>
      <w:r w:rsidRPr="005254AB">
        <w:rPr>
          <w:rFonts w:asciiTheme="majorBidi" w:hAnsiTheme="majorBidi" w:cstheme="majorBidi"/>
          <w:sz w:val="20"/>
          <w:szCs w:val="20"/>
        </w:rPr>
        <w:t>Taking history , clinical examination and assessment of hemodynamics (</w:t>
      </w:r>
      <w:proofErr w:type="spellStart"/>
      <w:r w:rsidRPr="005254AB">
        <w:rPr>
          <w:rFonts w:asciiTheme="majorBidi" w:hAnsiTheme="majorBidi" w:cstheme="majorBidi"/>
          <w:sz w:val="20"/>
          <w:szCs w:val="20"/>
        </w:rPr>
        <w:t>non invasive</w:t>
      </w:r>
      <w:proofErr w:type="spellEnd"/>
      <w:r w:rsidRPr="005254AB">
        <w:rPr>
          <w:rFonts w:asciiTheme="majorBidi" w:hAnsiTheme="majorBidi" w:cstheme="majorBidi"/>
          <w:sz w:val="20"/>
          <w:szCs w:val="20"/>
        </w:rPr>
        <w:t xml:space="preserve"> blood pressure (NIBP) , heart rate (HR), respiratory rate (RR) and Oxygen saturation (Spo2) . </w:t>
      </w:r>
    </w:p>
    <w:p w:rsidR="00482E8E" w:rsidRPr="005254AB" w:rsidRDefault="00482E8E" w:rsidP="000F34FC">
      <w:pPr>
        <w:bidi w:val="0"/>
        <w:spacing w:after="0" w:line="240" w:lineRule="auto"/>
        <w:jc w:val="both"/>
        <w:rPr>
          <w:rFonts w:asciiTheme="majorBidi" w:hAnsiTheme="majorBidi" w:cstheme="majorBidi"/>
          <w:b/>
          <w:bCs/>
          <w:sz w:val="20"/>
          <w:szCs w:val="20"/>
        </w:rPr>
      </w:pPr>
      <w:r w:rsidRPr="005254AB">
        <w:rPr>
          <w:rFonts w:asciiTheme="majorBidi" w:hAnsiTheme="majorBidi" w:cstheme="majorBidi"/>
          <w:b/>
          <w:bCs/>
          <w:sz w:val="20"/>
          <w:szCs w:val="20"/>
        </w:rPr>
        <w:t xml:space="preserve">2 . Intraoperative : </w:t>
      </w:r>
    </w:p>
    <w:p w:rsidR="00482E8E" w:rsidRPr="005254AB" w:rsidRDefault="00482E8E" w:rsidP="000F34FC">
      <w:pPr>
        <w:numPr>
          <w:ilvl w:val="0"/>
          <w:numId w:val="12"/>
        </w:numPr>
        <w:bidi w:val="0"/>
        <w:spacing w:after="0" w:line="240" w:lineRule="auto"/>
        <w:ind w:left="360" w:hanging="180"/>
        <w:jc w:val="both"/>
        <w:rPr>
          <w:rFonts w:asciiTheme="majorBidi" w:hAnsiTheme="majorBidi" w:cstheme="majorBidi"/>
          <w:sz w:val="20"/>
          <w:szCs w:val="20"/>
        </w:rPr>
      </w:pPr>
      <w:r w:rsidRPr="005254AB">
        <w:rPr>
          <w:rFonts w:asciiTheme="majorBidi" w:hAnsiTheme="majorBidi" w:cstheme="majorBidi"/>
          <w:sz w:val="20"/>
          <w:szCs w:val="20"/>
        </w:rPr>
        <w:t>Preoperative check-up was done .</w:t>
      </w:r>
    </w:p>
    <w:p w:rsidR="00482E8E" w:rsidRPr="005254AB" w:rsidRDefault="00482E8E" w:rsidP="000F34FC">
      <w:pPr>
        <w:numPr>
          <w:ilvl w:val="0"/>
          <w:numId w:val="12"/>
        </w:numPr>
        <w:bidi w:val="0"/>
        <w:spacing w:after="0" w:line="240" w:lineRule="auto"/>
        <w:ind w:left="360" w:hanging="180"/>
        <w:jc w:val="both"/>
        <w:rPr>
          <w:rFonts w:asciiTheme="majorBidi" w:hAnsiTheme="majorBidi" w:cstheme="majorBidi"/>
          <w:sz w:val="20"/>
          <w:szCs w:val="20"/>
        </w:rPr>
      </w:pPr>
      <w:r w:rsidRPr="005254AB">
        <w:rPr>
          <w:rFonts w:asciiTheme="majorBidi" w:hAnsiTheme="majorBidi" w:cstheme="majorBidi"/>
          <w:sz w:val="20"/>
          <w:szCs w:val="20"/>
        </w:rPr>
        <w:t xml:space="preserve"> In operating room , venous access was secured on the nondominant hand of every patient by 18G/20G cannula </w:t>
      </w:r>
    </w:p>
    <w:p w:rsidR="00482E8E" w:rsidRPr="005254AB" w:rsidRDefault="00482E8E" w:rsidP="000F34FC">
      <w:pPr>
        <w:numPr>
          <w:ilvl w:val="0"/>
          <w:numId w:val="12"/>
        </w:numPr>
        <w:bidi w:val="0"/>
        <w:spacing w:after="0" w:line="240" w:lineRule="auto"/>
        <w:ind w:left="360" w:hanging="180"/>
        <w:jc w:val="both"/>
        <w:rPr>
          <w:rFonts w:asciiTheme="majorBidi" w:hAnsiTheme="majorBidi" w:cstheme="majorBidi"/>
          <w:sz w:val="20"/>
          <w:szCs w:val="20"/>
        </w:rPr>
      </w:pPr>
      <w:r w:rsidRPr="005254AB">
        <w:rPr>
          <w:rFonts w:asciiTheme="majorBidi" w:hAnsiTheme="majorBidi" w:cstheme="majorBidi"/>
          <w:sz w:val="20"/>
          <w:szCs w:val="20"/>
        </w:rPr>
        <w:t xml:space="preserve">Intravenous (IV) fluid was started with 500 to 1000 ml of normal saline before anesthesia . </w:t>
      </w:r>
    </w:p>
    <w:p w:rsidR="00482E8E" w:rsidRPr="005254AB" w:rsidRDefault="00482E8E" w:rsidP="000F34FC">
      <w:pPr>
        <w:numPr>
          <w:ilvl w:val="0"/>
          <w:numId w:val="12"/>
        </w:numPr>
        <w:bidi w:val="0"/>
        <w:spacing w:after="0" w:line="240" w:lineRule="auto"/>
        <w:ind w:left="360" w:hanging="180"/>
        <w:jc w:val="both"/>
        <w:rPr>
          <w:rFonts w:asciiTheme="majorBidi" w:hAnsiTheme="majorBidi" w:cstheme="majorBidi"/>
          <w:sz w:val="20"/>
          <w:szCs w:val="20"/>
        </w:rPr>
      </w:pPr>
      <w:r w:rsidRPr="005254AB">
        <w:rPr>
          <w:rFonts w:asciiTheme="majorBidi" w:hAnsiTheme="majorBidi" w:cstheme="majorBidi"/>
          <w:sz w:val="20"/>
          <w:szCs w:val="20"/>
        </w:rPr>
        <w:t xml:space="preserve">Baseline parameters including heart rate (HR) , systolic blood pressure (SBP) , diastolic blood pressure (DBP) , mean blood pressure (MBP) , respiratory rate (RR) and SpO2% were recorded . </w:t>
      </w:r>
    </w:p>
    <w:p w:rsidR="00482E8E" w:rsidRPr="005254AB" w:rsidRDefault="00482E8E" w:rsidP="000F34FC">
      <w:pPr>
        <w:numPr>
          <w:ilvl w:val="0"/>
          <w:numId w:val="12"/>
        </w:numPr>
        <w:bidi w:val="0"/>
        <w:spacing w:after="0" w:line="240" w:lineRule="auto"/>
        <w:ind w:left="360" w:hanging="180"/>
        <w:jc w:val="both"/>
        <w:rPr>
          <w:rFonts w:asciiTheme="majorBidi" w:hAnsiTheme="majorBidi" w:cstheme="majorBidi"/>
          <w:sz w:val="20"/>
          <w:szCs w:val="20"/>
        </w:rPr>
      </w:pPr>
      <w:r w:rsidRPr="005254AB">
        <w:rPr>
          <w:rFonts w:asciiTheme="majorBidi" w:hAnsiTheme="majorBidi" w:cstheme="majorBidi"/>
          <w:sz w:val="20"/>
          <w:szCs w:val="20"/>
        </w:rPr>
        <w:t>These were recorded again every 5 minutes during the duration of operation .</w:t>
      </w:r>
    </w:p>
    <w:p w:rsidR="00482E8E" w:rsidRPr="005254AB" w:rsidRDefault="00482E8E" w:rsidP="000F34FC">
      <w:pPr>
        <w:numPr>
          <w:ilvl w:val="0"/>
          <w:numId w:val="12"/>
        </w:numPr>
        <w:bidi w:val="0"/>
        <w:spacing w:after="0" w:line="240" w:lineRule="auto"/>
        <w:ind w:left="360" w:hanging="180"/>
        <w:jc w:val="both"/>
        <w:rPr>
          <w:rFonts w:asciiTheme="majorBidi" w:hAnsiTheme="majorBidi" w:cstheme="majorBidi"/>
          <w:sz w:val="20"/>
          <w:szCs w:val="20"/>
        </w:rPr>
      </w:pPr>
      <w:r w:rsidRPr="005254AB">
        <w:rPr>
          <w:rFonts w:asciiTheme="majorBidi" w:hAnsiTheme="majorBidi" w:cstheme="majorBidi"/>
          <w:sz w:val="20"/>
          <w:szCs w:val="20"/>
        </w:rPr>
        <w:t xml:space="preserve"> All loading fluids and drugs were to be given at room temperature which was kept at 25 </w:t>
      </w:r>
      <w:proofErr w:type="spellStart"/>
      <w:r w:rsidRPr="005254AB">
        <w:rPr>
          <w:rFonts w:asciiTheme="majorBidi" w:hAnsiTheme="majorBidi" w:cstheme="majorBidi"/>
          <w:sz w:val="20"/>
          <w:szCs w:val="20"/>
        </w:rPr>
        <w:t>celsius</w:t>
      </w:r>
      <w:proofErr w:type="spellEnd"/>
      <w:r w:rsidRPr="005254AB">
        <w:rPr>
          <w:rFonts w:asciiTheme="majorBidi" w:hAnsiTheme="majorBidi" w:cstheme="majorBidi"/>
          <w:sz w:val="20"/>
          <w:szCs w:val="20"/>
        </w:rPr>
        <w:t xml:space="preserve"> degrees . </w:t>
      </w:r>
    </w:p>
    <w:p w:rsidR="00482E8E" w:rsidRDefault="00482E8E" w:rsidP="000F34FC">
      <w:pPr>
        <w:numPr>
          <w:ilvl w:val="0"/>
          <w:numId w:val="12"/>
        </w:numPr>
        <w:bidi w:val="0"/>
        <w:spacing w:after="0" w:line="240" w:lineRule="auto"/>
        <w:ind w:left="360" w:hanging="180"/>
        <w:jc w:val="both"/>
        <w:rPr>
          <w:rFonts w:asciiTheme="majorBidi" w:hAnsiTheme="majorBidi" w:cstheme="majorBidi"/>
          <w:sz w:val="20"/>
          <w:szCs w:val="20"/>
        </w:rPr>
      </w:pPr>
      <w:r w:rsidRPr="005254AB">
        <w:rPr>
          <w:rFonts w:asciiTheme="majorBidi" w:hAnsiTheme="majorBidi" w:cstheme="majorBidi"/>
          <w:sz w:val="20"/>
          <w:szCs w:val="20"/>
        </w:rPr>
        <w:t xml:space="preserve">The attending </w:t>
      </w:r>
      <w:proofErr w:type="spellStart"/>
      <w:r w:rsidRPr="005254AB">
        <w:rPr>
          <w:rFonts w:asciiTheme="majorBidi" w:hAnsiTheme="majorBidi" w:cstheme="majorBidi"/>
          <w:sz w:val="20"/>
          <w:szCs w:val="20"/>
        </w:rPr>
        <w:t>anesthestists</w:t>
      </w:r>
      <w:proofErr w:type="spellEnd"/>
      <w:r w:rsidRPr="005254AB">
        <w:rPr>
          <w:rFonts w:asciiTheme="majorBidi" w:hAnsiTheme="majorBidi" w:cstheme="majorBidi"/>
          <w:sz w:val="20"/>
          <w:szCs w:val="20"/>
        </w:rPr>
        <w:t xml:space="preserve"> recorded the amounts of preoperative &amp; intraoperative fluids and duration of surgery . </w:t>
      </w:r>
    </w:p>
    <w:p w:rsidR="00E47047" w:rsidRDefault="00E47047" w:rsidP="00E47047">
      <w:pPr>
        <w:bidi w:val="0"/>
        <w:spacing w:after="0" w:line="240" w:lineRule="auto"/>
        <w:jc w:val="both"/>
        <w:rPr>
          <w:rFonts w:asciiTheme="majorBidi" w:hAnsiTheme="majorBidi" w:cstheme="majorBidi"/>
          <w:sz w:val="20"/>
          <w:szCs w:val="20"/>
        </w:rPr>
      </w:pPr>
    </w:p>
    <w:p w:rsidR="00E47047" w:rsidRDefault="00E47047" w:rsidP="00E47047">
      <w:pPr>
        <w:bidi w:val="0"/>
        <w:spacing w:after="0" w:line="240" w:lineRule="auto"/>
        <w:jc w:val="both"/>
        <w:rPr>
          <w:rFonts w:asciiTheme="majorBidi" w:hAnsiTheme="majorBidi" w:cstheme="majorBidi"/>
          <w:sz w:val="20"/>
          <w:szCs w:val="20"/>
        </w:rPr>
      </w:pPr>
    </w:p>
    <w:p w:rsidR="00482E8E" w:rsidRPr="005254AB" w:rsidRDefault="00482E8E" w:rsidP="000F34FC">
      <w:pPr>
        <w:bidi w:val="0"/>
        <w:spacing w:after="0" w:line="240" w:lineRule="auto"/>
        <w:jc w:val="both"/>
        <w:rPr>
          <w:rFonts w:asciiTheme="majorBidi" w:hAnsiTheme="majorBidi" w:cstheme="majorBidi"/>
          <w:b/>
          <w:bCs/>
          <w:sz w:val="20"/>
          <w:szCs w:val="20"/>
        </w:rPr>
      </w:pPr>
      <w:r w:rsidRPr="005254AB">
        <w:rPr>
          <w:rFonts w:asciiTheme="majorBidi" w:hAnsiTheme="majorBidi" w:cstheme="majorBidi"/>
          <w:b/>
          <w:bCs/>
          <w:sz w:val="20"/>
          <w:szCs w:val="20"/>
        </w:rPr>
        <w:lastRenderedPageBreak/>
        <w:t xml:space="preserve">3 . Postoperative : </w:t>
      </w:r>
    </w:p>
    <w:p w:rsidR="00482E8E" w:rsidRPr="005254AB" w:rsidRDefault="00482E8E" w:rsidP="000F34FC">
      <w:pPr>
        <w:numPr>
          <w:ilvl w:val="0"/>
          <w:numId w:val="13"/>
        </w:numPr>
        <w:bidi w:val="0"/>
        <w:spacing w:after="0" w:line="240" w:lineRule="auto"/>
        <w:ind w:left="450" w:hanging="270"/>
        <w:jc w:val="both"/>
        <w:rPr>
          <w:rFonts w:asciiTheme="majorBidi" w:eastAsia="Times New Roman" w:hAnsiTheme="majorBidi" w:cstheme="majorBidi"/>
          <w:b/>
          <w:bCs/>
          <w:sz w:val="20"/>
          <w:szCs w:val="20"/>
          <w:lang w:val="en-GB" w:bidi="en-US"/>
        </w:rPr>
      </w:pPr>
      <w:r w:rsidRPr="005254AB">
        <w:rPr>
          <w:rFonts w:asciiTheme="majorBidi" w:hAnsiTheme="majorBidi" w:cstheme="majorBidi"/>
          <w:sz w:val="20"/>
          <w:szCs w:val="20"/>
        </w:rPr>
        <w:t xml:space="preserve">After surgery , patients were observed in the </w:t>
      </w:r>
      <w:proofErr w:type="spellStart"/>
      <w:r w:rsidRPr="005254AB">
        <w:rPr>
          <w:rFonts w:asciiTheme="majorBidi" w:hAnsiTheme="majorBidi" w:cstheme="majorBidi"/>
          <w:sz w:val="20"/>
          <w:szCs w:val="20"/>
        </w:rPr>
        <w:t>postanesthesia</w:t>
      </w:r>
      <w:proofErr w:type="spellEnd"/>
      <w:r w:rsidRPr="005254AB">
        <w:rPr>
          <w:rFonts w:asciiTheme="majorBidi" w:hAnsiTheme="majorBidi" w:cstheme="majorBidi"/>
          <w:sz w:val="20"/>
          <w:szCs w:val="20"/>
        </w:rPr>
        <w:t xml:space="preserve"> care unit for 2 hours where the vital signs were recorded . </w:t>
      </w:r>
    </w:p>
    <w:p w:rsidR="000F34FC" w:rsidRPr="005254AB" w:rsidRDefault="000F34FC" w:rsidP="000F34FC">
      <w:pPr>
        <w:bidi w:val="0"/>
        <w:spacing w:after="0" w:line="240" w:lineRule="auto"/>
        <w:jc w:val="both"/>
        <w:rPr>
          <w:rFonts w:asciiTheme="majorBidi" w:eastAsia="Times New Roman" w:hAnsiTheme="majorBidi" w:cstheme="majorBidi"/>
          <w:b/>
          <w:bCs/>
          <w:color w:val="000000"/>
          <w:sz w:val="20"/>
          <w:szCs w:val="20"/>
          <w:lang w:bidi="ar-EG"/>
        </w:rPr>
      </w:pPr>
    </w:p>
    <w:p w:rsidR="00482E8E" w:rsidRPr="005254AB" w:rsidRDefault="00482E8E" w:rsidP="000F34FC">
      <w:pPr>
        <w:bidi w:val="0"/>
        <w:spacing w:after="0" w:line="240" w:lineRule="auto"/>
        <w:jc w:val="both"/>
        <w:rPr>
          <w:rFonts w:asciiTheme="majorBidi" w:eastAsiaTheme="minorHAnsi" w:hAnsiTheme="majorBidi" w:cstheme="majorBidi"/>
          <w:b/>
          <w:bCs/>
          <w:sz w:val="20"/>
          <w:szCs w:val="20"/>
        </w:rPr>
      </w:pPr>
      <w:r w:rsidRPr="005254AB">
        <w:rPr>
          <w:rFonts w:asciiTheme="majorBidi" w:eastAsia="Times New Roman" w:hAnsiTheme="majorBidi" w:cstheme="majorBidi"/>
          <w:b/>
          <w:bCs/>
          <w:color w:val="000000"/>
          <w:sz w:val="20"/>
          <w:szCs w:val="20"/>
          <w:lang w:bidi="ar-EG"/>
        </w:rPr>
        <w:t xml:space="preserve"> </w:t>
      </w:r>
      <w:r w:rsidRPr="005254AB">
        <w:rPr>
          <w:rFonts w:asciiTheme="majorBidi" w:eastAsiaTheme="minorHAnsi" w:hAnsiTheme="majorBidi" w:cstheme="majorBidi"/>
          <w:b/>
          <w:bCs/>
          <w:sz w:val="20"/>
          <w:szCs w:val="20"/>
        </w:rPr>
        <w:t>E)-Administrative considerations:</w:t>
      </w:r>
    </w:p>
    <w:p w:rsidR="00482E8E" w:rsidRPr="005254AB" w:rsidRDefault="00482E8E" w:rsidP="00AD5621">
      <w:pPr>
        <w:numPr>
          <w:ilvl w:val="0"/>
          <w:numId w:val="14"/>
        </w:numPr>
        <w:tabs>
          <w:tab w:val="left" w:pos="360"/>
        </w:tabs>
        <w:bidi w:val="0"/>
        <w:spacing w:after="0" w:line="240" w:lineRule="auto"/>
        <w:ind w:left="360" w:hanging="180"/>
        <w:jc w:val="both"/>
        <w:rPr>
          <w:rFonts w:asciiTheme="majorBidi" w:eastAsia="Times New Roman" w:hAnsiTheme="majorBidi" w:cstheme="majorBidi"/>
          <w:sz w:val="20"/>
          <w:szCs w:val="20"/>
        </w:rPr>
      </w:pPr>
      <w:r w:rsidRPr="005254AB">
        <w:rPr>
          <w:rFonts w:asciiTheme="majorBidi" w:eastAsia="Times New Roman" w:hAnsiTheme="majorBidi" w:cstheme="majorBidi"/>
          <w:sz w:val="20"/>
          <w:szCs w:val="20"/>
          <w:lang w:bidi="ar-EG"/>
        </w:rPr>
        <w:t xml:space="preserve">An Official permission was obtained from the ethical committee of the department of General Surgery, Faculty of Medicine, </w:t>
      </w:r>
      <w:proofErr w:type="spellStart"/>
      <w:r w:rsidRPr="005254AB">
        <w:rPr>
          <w:rFonts w:asciiTheme="majorBidi" w:eastAsia="Times New Roman" w:hAnsiTheme="majorBidi" w:cstheme="majorBidi"/>
          <w:sz w:val="20"/>
          <w:szCs w:val="20"/>
          <w:lang w:bidi="ar-EG"/>
        </w:rPr>
        <w:t>Benha</w:t>
      </w:r>
      <w:proofErr w:type="spellEnd"/>
      <w:r w:rsidRPr="005254AB">
        <w:rPr>
          <w:rFonts w:asciiTheme="majorBidi" w:eastAsia="Times New Roman" w:hAnsiTheme="majorBidi" w:cstheme="majorBidi"/>
          <w:sz w:val="20"/>
          <w:szCs w:val="20"/>
          <w:lang w:bidi="ar-EG"/>
        </w:rPr>
        <w:t xml:space="preserve"> University</w:t>
      </w:r>
    </w:p>
    <w:p w:rsidR="00482E8E" w:rsidRPr="005254AB" w:rsidRDefault="00482E8E" w:rsidP="00AD5621">
      <w:pPr>
        <w:numPr>
          <w:ilvl w:val="0"/>
          <w:numId w:val="14"/>
        </w:numPr>
        <w:tabs>
          <w:tab w:val="left" w:pos="360"/>
        </w:tabs>
        <w:bidi w:val="0"/>
        <w:spacing w:after="0" w:line="240" w:lineRule="auto"/>
        <w:ind w:left="360" w:hanging="180"/>
        <w:jc w:val="both"/>
        <w:rPr>
          <w:rFonts w:asciiTheme="majorBidi" w:eastAsia="Times New Roman" w:hAnsiTheme="majorBidi" w:cstheme="majorBidi"/>
          <w:sz w:val="20"/>
          <w:szCs w:val="20"/>
        </w:rPr>
      </w:pPr>
      <w:r w:rsidRPr="005254AB">
        <w:rPr>
          <w:rFonts w:asciiTheme="majorBidi" w:eastAsia="Times New Roman" w:hAnsiTheme="majorBidi" w:cstheme="majorBidi"/>
          <w:sz w:val="20"/>
          <w:szCs w:val="20"/>
        </w:rPr>
        <w:t xml:space="preserve"> An official permission was obtained from the Institutional Research </w:t>
      </w:r>
    </w:p>
    <w:p w:rsidR="00482E8E" w:rsidRPr="005254AB" w:rsidRDefault="00482E8E" w:rsidP="00AD5621">
      <w:pPr>
        <w:numPr>
          <w:ilvl w:val="0"/>
          <w:numId w:val="14"/>
        </w:numPr>
        <w:tabs>
          <w:tab w:val="left" w:pos="360"/>
        </w:tabs>
        <w:bidi w:val="0"/>
        <w:spacing w:after="0" w:line="240" w:lineRule="auto"/>
        <w:ind w:left="360" w:hanging="180"/>
        <w:jc w:val="both"/>
        <w:rPr>
          <w:rFonts w:asciiTheme="majorBidi" w:eastAsia="Times New Roman" w:hAnsiTheme="majorBidi" w:cstheme="majorBidi"/>
          <w:sz w:val="20"/>
          <w:szCs w:val="20"/>
        </w:rPr>
      </w:pPr>
      <w:r w:rsidRPr="005254AB">
        <w:rPr>
          <w:rFonts w:asciiTheme="majorBidi" w:eastAsia="Times New Roman" w:hAnsiTheme="majorBidi" w:cstheme="majorBidi"/>
          <w:sz w:val="20"/>
          <w:szCs w:val="20"/>
        </w:rPr>
        <w:t>Approval from ethical committee in the faculty of medicine (Institutional Research Board IRB)</w:t>
      </w:r>
    </w:p>
    <w:p w:rsidR="00482E8E" w:rsidRPr="005254AB" w:rsidRDefault="00482E8E" w:rsidP="000F34FC">
      <w:pPr>
        <w:bidi w:val="0"/>
        <w:spacing w:after="0" w:line="240" w:lineRule="auto"/>
        <w:jc w:val="both"/>
        <w:rPr>
          <w:rFonts w:asciiTheme="majorBidi" w:eastAsiaTheme="minorHAnsi" w:hAnsiTheme="majorBidi" w:cstheme="majorBidi"/>
          <w:b/>
          <w:bCs/>
          <w:sz w:val="20"/>
          <w:szCs w:val="20"/>
        </w:rPr>
      </w:pPr>
      <w:r w:rsidRPr="005254AB">
        <w:rPr>
          <w:rFonts w:asciiTheme="majorBidi" w:eastAsiaTheme="minorHAnsi" w:hAnsiTheme="majorBidi" w:cstheme="majorBidi"/>
          <w:b/>
          <w:bCs/>
          <w:sz w:val="20"/>
          <w:szCs w:val="20"/>
        </w:rPr>
        <w:t>F) - Ethical consideration:</w:t>
      </w:r>
    </w:p>
    <w:p w:rsidR="00482E8E" w:rsidRPr="005254AB" w:rsidRDefault="00482E8E" w:rsidP="00AD5621">
      <w:pPr>
        <w:numPr>
          <w:ilvl w:val="0"/>
          <w:numId w:val="14"/>
        </w:numPr>
        <w:tabs>
          <w:tab w:val="left" w:pos="360"/>
        </w:tabs>
        <w:bidi w:val="0"/>
        <w:spacing w:after="0" w:line="240" w:lineRule="auto"/>
        <w:ind w:left="360" w:hanging="180"/>
        <w:jc w:val="both"/>
        <w:rPr>
          <w:rFonts w:asciiTheme="majorBidi" w:eastAsia="Times New Roman" w:hAnsiTheme="majorBidi" w:cstheme="majorBidi"/>
          <w:sz w:val="20"/>
          <w:szCs w:val="20"/>
          <w:lang w:bidi="ar-EG"/>
        </w:rPr>
      </w:pPr>
      <w:r w:rsidRPr="005254AB">
        <w:rPr>
          <w:rFonts w:asciiTheme="majorBidi" w:eastAsia="Times New Roman" w:hAnsiTheme="majorBidi" w:cstheme="majorBidi"/>
          <w:sz w:val="20"/>
          <w:szCs w:val="20"/>
          <w:lang w:bidi="ar-EG"/>
        </w:rPr>
        <w:t>Informed consent was obtained from all participants after being informed about the aims and process of the study as well as applicable objectives.</w:t>
      </w:r>
    </w:p>
    <w:p w:rsidR="00482E8E" w:rsidRPr="005254AB" w:rsidRDefault="00482E8E" w:rsidP="00AD5621">
      <w:pPr>
        <w:numPr>
          <w:ilvl w:val="0"/>
          <w:numId w:val="14"/>
        </w:numPr>
        <w:tabs>
          <w:tab w:val="left" w:pos="360"/>
        </w:tabs>
        <w:bidi w:val="0"/>
        <w:spacing w:after="0" w:line="240" w:lineRule="auto"/>
        <w:ind w:left="360" w:hanging="180"/>
        <w:jc w:val="both"/>
        <w:rPr>
          <w:rFonts w:asciiTheme="majorBidi" w:eastAsia="Times New Roman" w:hAnsiTheme="majorBidi" w:cstheme="majorBidi"/>
          <w:sz w:val="20"/>
          <w:szCs w:val="20"/>
          <w:lang w:bidi="ar-EG"/>
        </w:rPr>
      </w:pPr>
      <w:r w:rsidRPr="005254AB">
        <w:rPr>
          <w:rFonts w:asciiTheme="majorBidi" w:eastAsia="Times New Roman" w:hAnsiTheme="majorBidi" w:cstheme="majorBidi"/>
          <w:sz w:val="20"/>
          <w:szCs w:val="20"/>
          <w:lang w:bidi="ar-EG"/>
        </w:rPr>
        <w:t xml:space="preserve">The study procedures were free from any harmful effects on the participants as well as the service provided. </w:t>
      </w:r>
    </w:p>
    <w:p w:rsidR="00482E8E" w:rsidRPr="005254AB" w:rsidRDefault="00482E8E" w:rsidP="00AD5621">
      <w:pPr>
        <w:numPr>
          <w:ilvl w:val="0"/>
          <w:numId w:val="14"/>
        </w:numPr>
        <w:tabs>
          <w:tab w:val="left" w:pos="360"/>
        </w:tabs>
        <w:bidi w:val="0"/>
        <w:spacing w:after="0" w:line="240" w:lineRule="auto"/>
        <w:ind w:left="360" w:hanging="180"/>
        <w:jc w:val="both"/>
        <w:rPr>
          <w:rFonts w:asciiTheme="majorBidi" w:eastAsia="Times New Roman" w:hAnsiTheme="majorBidi" w:cstheme="majorBidi"/>
          <w:sz w:val="20"/>
          <w:szCs w:val="20"/>
          <w:lang w:bidi="ar-EG"/>
        </w:rPr>
      </w:pPr>
      <w:r w:rsidRPr="005254AB">
        <w:rPr>
          <w:rFonts w:asciiTheme="majorBidi" w:eastAsia="Times New Roman" w:hAnsiTheme="majorBidi" w:cstheme="majorBidi"/>
          <w:sz w:val="20"/>
          <w:szCs w:val="20"/>
          <w:lang w:bidi="ar-EG"/>
        </w:rPr>
        <w:t>The principal investigators have kept individual data as private information safely. There was no extra fee to be paid by the participants and the investigators covered all the costs in this regard.</w:t>
      </w:r>
    </w:p>
    <w:p w:rsidR="00482E8E" w:rsidRPr="005254AB" w:rsidRDefault="00482E8E" w:rsidP="000F34FC">
      <w:pPr>
        <w:widowControl w:val="0"/>
        <w:autoSpaceDE w:val="0"/>
        <w:autoSpaceDN w:val="0"/>
        <w:bidi w:val="0"/>
        <w:adjustRightInd w:val="0"/>
        <w:spacing w:after="0" w:line="240" w:lineRule="auto"/>
        <w:jc w:val="both"/>
        <w:rPr>
          <w:rFonts w:asciiTheme="majorBidi" w:hAnsiTheme="majorBidi" w:cstheme="majorBidi"/>
          <w:b/>
          <w:bCs/>
          <w:sz w:val="20"/>
          <w:szCs w:val="20"/>
        </w:rPr>
      </w:pPr>
      <w:r w:rsidRPr="005254AB">
        <w:rPr>
          <w:rFonts w:asciiTheme="majorBidi" w:eastAsia="Times New Roman" w:hAnsiTheme="majorBidi" w:cstheme="majorBidi"/>
          <w:b/>
          <w:bCs/>
          <w:color w:val="000000"/>
          <w:sz w:val="20"/>
          <w:szCs w:val="20"/>
          <w:lang w:bidi="ar-EG"/>
        </w:rPr>
        <w:t>7)Data management and Statistical Analysis</w:t>
      </w:r>
    </w:p>
    <w:p w:rsidR="00482E8E" w:rsidRPr="005254AB" w:rsidRDefault="00482E8E" w:rsidP="000F34FC">
      <w:pPr>
        <w:bidi w:val="0"/>
        <w:spacing w:after="0" w:line="240" w:lineRule="auto"/>
        <w:ind w:firstLine="540"/>
        <w:jc w:val="both"/>
        <w:rPr>
          <w:rFonts w:asciiTheme="majorBidi" w:hAnsiTheme="majorBidi" w:cstheme="majorBidi"/>
          <w:color w:val="000000" w:themeColor="text1"/>
          <w:sz w:val="20"/>
          <w:szCs w:val="20"/>
          <w:lang w:bidi="ar-EG"/>
        </w:rPr>
      </w:pPr>
      <w:r w:rsidRPr="005254AB">
        <w:rPr>
          <w:rFonts w:asciiTheme="majorBidi" w:hAnsiTheme="majorBidi" w:cstheme="majorBidi"/>
          <w:color w:val="000000"/>
          <w:sz w:val="20"/>
          <w:szCs w:val="20"/>
          <w:lang w:bidi="ar-EG"/>
        </w:rPr>
        <w:t xml:space="preserve"> </w:t>
      </w:r>
      <w:r w:rsidRPr="005254AB">
        <w:rPr>
          <w:rFonts w:asciiTheme="majorBidi" w:hAnsiTheme="majorBidi" w:cstheme="majorBidi"/>
          <w:color w:val="000000" w:themeColor="text1"/>
          <w:sz w:val="20"/>
          <w:szCs w:val="20"/>
          <w:lang w:bidi="ar-EG"/>
        </w:rPr>
        <w:t xml:space="preserve"> Data entry, processing and statistical analysis was carried out using  </w:t>
      </w:r>
      <w:proofErr w:type="spellStart"/>
      <w:r w:rsidRPr="005254AB">
        <w:rPr>
          <w:rFonts w:asciiTheme="majorBidi" w:hAnsiTheme="majorBidi" w:cstheme="majorBidi"/>
          <w:color w:val="000000" w:themeColor="text1"/>
          <w:sz w:val="20"/>
          <w:szCs w:val="20"/>
          <w:lang w:bidi="ar-EG"/>
        </w:rPr>
        <w:t>using</w:t>
      </w:r>
      <w:proofErr w:type="spellEnd"/>
      <w:r w:rsidRPr="005254AB">
        <w:rPr>
          <w:rFonts w:asciiTheme="majorBidi" w:hAnsiTheme="majorBidi" w:cstheme="majorBidi"/>
          <w:color w:val="000000" w:themeColor="text1"/>
          <w:sz w:val="20"/>
          <w:szCs w:val="20"/>
          <w:lang w:bidi="ar-EG"/>
        </w:rPr>
        <w:t xml:space="preserve"> SPSS version 20</w:t>
      </w:r>
      <w:r w:rsidRPr="005254AB">
        <w:rPr>
          <w:rFonts w:asciiTheme="majorBidi" w:hAnsiTheme="majorBidi" w:cstheme="majorBidi"/>
          <w:b/>
          <w:bCs/>
          <w:color w:val="000000" w:themeColor="text1"/>
          <w:sz w:val="20"/>
          <w:szCs w:val="20"/>
          <w:lang w:bidi="ar-EG"/>
        </w:rPr>
        <w:t xml:space="preserve">(Statistical Package for the Social </w:t>
      </w:r>
      <w:r w:rsidRPr="005254AB">
        <w:rPr>
          <w:rFonts w:asciiTheme="majorBidi" w:hAnsiTheme="majorBidi" w:cstheme="majorBidi"/>
          <w:b/>
          <w:bCs/>
          <w:color w:val="000000" w:themeColor="text1"/>
          <w:sz w:val="20"/>
          <w:szCs w:val="20"/>
          <w:lang w:bidi="ar-EG"/>
        </w:rPr>
        <w:lastRenderedPageBreak/>
        <w:t>Sciences).</w:t>
      </w:r>
      <w:r w:rsidRPr="005254AB">
        <w:rPr>
          <w:rFonts w:asciiTheme="majorBidi" w:hAnsiTheme="majorBidi" w:cstheme="majorBidi"/>
          <w:color w:val="000000" w:themeColor="text1"/>
          <w:sz w:val="20"/>
          <w:szCs w:val="20"/>
          <w:lang w:bidi="ar-EG"/>
        </w:rPr>
        <w:t xml:space="preserve"> Tests of significance (Kruskal-Wallis, Wilcoxon’s, Chi square, logistic regression analysis, and Spearman’s correlation) were used. Data were presented and suitable analysis was done according to the type of data (parametric and non-parametric) obtained for each variable. P-values less than 0.05 (5%) was considered to be statistically significant.</w:t>
      </w:r>
    </w:p>
    <w:p w:rsidR="00482E8E" w:rsidRPr="005254AB" w:rsidRDefault="00482E8E" w:rsidP="000F34FC">
      <w:pPr>
        <w:bidi w:val="0"/>
        <w:spacing w:after="0" w:line="240" w:lineRule="auto"/>
        <w:ind w:firstLine="270"/>
        <w:jc w:val="both"/>
        <w:rPr>
          <w:rFonts w:asciiTheme="majorBidi" w:hAnsiTheme="majorBidi" w:cstheme="majorBidi"/>
          <w:sz w:val="20"/>
          <w:szCs w:val="20"/>
          <w:u w:val="single"/>
          <w:lang w:bidi="ar-EG"/>
        </w:rPr>
      </w:pPr>
      <w:r w:rsidRPr="005254AB">
        <w:rPr>
          <w:rFonts w:asciiTheme="majorBidi" w:hAnsiTheme="majorBidi" w:cstheme="majorBidi"/>
          <w:sz w:val="20"/>
          <w:szCs w:val="20"/>
          <w:u w:val="single"/>
          <w:lang w:bidi="ar-EG"/>
        </w:rPr>
        <w:t>P- value: level of significance</w:t>
      </w:r>
    </w:p>
    <w:p w:rsidR="00482E8E" w:rsidRPr="005254AB" w:rsidRDefault="00482E8E" w:rsidP="000F34FC">
      <w:pPr>
        <w:bidi w:val="0"/>
        <w:spacing w:after="0" w:line="240" w:lineRule="auto"/>
        <w:ind w:firstLine="270"/>
        <w:jc w:val="both"/>
        <w:rPr>
          <w:rFonts w:asciiTheme="majorBidi" w:hAnsiTheme="majorBidi" w:cstheme="majorBidi"/>
          <w:sz w:val="20"/>
          <w:szCs w:val="20"/>
          <w:lang w:bidi="ar-EG"/>
        </w:rPr>
      </w:pPr>
      <w:r w:rsidRPr="005254AB">
        <w:rPr>
          <w:rFonts w:asciiTheme="majorBidi" w:hAnsiTheme="majorBidi" w:cstheme="majorBidi"/>
          <w:sz w:val="20"/>
          <w:szCs w:val="20"/>
          <w:lang w:bidi="ar-EG"/>
        </w:rPr>
        <w:t>P &gt; 0.05: Non-significant (NS).</w:t>
      </w:r>
    </w:p>
    <w:p w:rsidR="00482E8E" w:rsidRPr="005254AB" w:rsidRDefault="00482E8E" w:rsidP="000F34FC">
      <w:pPr>
        <w:bidi w:val="0"/>
        <w:spacing w:after="0" w:line="240" w:lineRule="auto"/>
        <w:ind w:firstLine="270"/>
        <w:jc w:val="both"/>
        <w:rPr>
          <w:rFonts w:asciiTheme="majorBidi" w:hAnsiTheme="majorBidi" w:cstheme="majorBidi"/>
          <w:sz w:val="20"/>
          <w:szCs w:val="20"/>
          <w:lang w:bidi="ar-EG"/>
        </w:rPr>
      </w:pPr>
      <w:r w:rsidRPr="005254AB">
        <w:rPr>
          <w:rFonts w:asciiTheme="majorBidi" w:hAnsiTheme="majorBidi" w:cstheme="majorBidi"/>
          <w:sz w:val="20"/>
          <w:szCs w:val="20"/>
          <w:lang w:bidi="ar-EG"/>
        </w:rPr>
        <w:t>P &lt; 0.05: Significant (S).</w:t>
      </w:r>
    </w:p>
    <w:p w:rsidR="00482E8E" w:rsidRPr="005254AB" w:rsidRDefault="00482E8E" w:rsidP="000F34FC">
      <w:pPr>
        <w:bidi w:val="0"/>
        <w:spacing w:after="0" w:line="240" w:lineRule="auto"/>
        <w:ind w:firstLine="270"/>
        <w:jc w:val="both"/>
        <w:rPr>
          <w:rFonts w:asciiTheme="majorBidi" w:hAnsiTheme="majorBidi" w:cstheme="majorBidi"/>
          <w:sz w:val="20"/>
          <w:szCs w:val="20"/>
          <w:lang w:bidi="ar-EG"/>
        </w:rPr>
      </w:pPr>
      <w:r w:rsidRPr="005254AB">
        <w:rPr>
          <w:rFonts w:asciiTheme="majorBidi" w:hAnsiTheme="majorBidi" w:cstheme="majorBidi"/>
          <w:sz w:val="20"/>
          <w:szCs w:val="20"/>
          <w:lang w:bidi="ar-EG"/>
        </w:rPr>
        <w:t>P &lt; 0.01: Highly significant (HS).</w:t>
      </w:r>
    </w:p>
    <w:p w:rsidR="00482E8E" w:rsidRPr="005254AB" w:rsidRDefault="00482E8E" w:rsidP="000F34FC">
      <w:pPr>
        <w:widowControl w:val="0"/>
        <w:bidi w:val="0"/>
        <w:spacing w:after="0" w:line="240" w:lineRule="auto"/>
        <w:jc w:val="both"/>
        <w:rPr>
          <w:rFonts w:asciiTheme="majorBidi" w:hAnsiTheme="majorBidi" w:cstheme="majorBidi"/>
          <w:b/>
          <w:bCs/>
          <w:i/>
          <w:iCs/>
          <w:sz w:val="20"/>
          <w:szCs w:val="20"/>
        </w:rPr>
      </w:pPr>
      <w:r w:rsidRPr="005254AB">
        <w:rPr>
          <w:rFonts w:asciiTheme="majorBidi" w:hAnsiTheme="majorBidi" w:cstheme="majorBidi"/>
          <w:b/>
          <w:bCs/>
          <w:i/>
          <w:iCs/>
          <w:sz w:val="20"/>
          <w:szCs w:val="20"/>
        </w:rPr>
        <w:t>Descriptive statistics:</w:t>
      </w:r>
    </w:p>
    <w:p w:rsidR="00482E8E" w:rsidRPr="005254AB" w:rsidRDefault="00482E8E" w:rsidP="00AD5621">
      <w:pPr>
        <w:widowControl w:val="0"/>
        <w:numPr>
          <w:ilvl w:val="0"/>
          <w:numId w:val="17"/>
        </w:numPr>
        <w:bidi w:val="0"/>
        <w:spacing w:after="0" w:line="240" w:lineRule="auto"/>
        <w:ind w:left="450"/>
        <w:jc w:val="both"/>
        <w:rPr>
          <w:rFonts w:asciiTheme="majorBidi" w:hAnsiTheme="majorBidi" w:cstheme="majorBidi"/>
          <w:bCs/>
          <w:sz w:val="20"/>
          <w:szCs w:val="20"/>
        </w:rPr>
      </w:pPr>
      <w:r w:rsidRPr="005254AB">
        <w:rPr>
          <w:rFonts w:asciiTheme="majorBidi" w:hAnsiTheme="majorBidi" w:cstheme="majorBidi"/>
          <w:bCs/>
          <w:sz w:val="20"/>
          <w:szCs w:val="20"/>
        </w:rPr>
        <w:t>Mean, Standard deviation (± SD) and range for parametric numerical data, while Median and Inter-quartile range (IQR) for non-parametric numerical data.</w:t>
      </w:r>
    </w:p>
    <w:p w:rsidR="00482E8E" w:rsidRPr="005254AB" w:rsidRDefault="00482E8E" w:rsidP="00AD5621">
      <w:pPr>
        <w:widowControl w:val="0"/>
        <w:numPr>
          <w:ilvl w:val="0"/>
          <w:numId w:val="17"/>
        </w:numPr>
        <w:bidi w:val="0"/>
        <w:spacing w:after="0" w:line="240" w:lineRule="auto"/>
        <w:ind w:left="450"/>
        <w:jc w:val="both"/>
        <w:rPr>
          <w:rFonts w:asciiTheme="majorBidi" w:hAnsiTheme="majorBidi" w:cstheme="majorBidi"/>
          <w:bCs/>
          <w:sz w:val="20"/>
          <w:szCs w:val="20"/>
        </w:rPr>
      </w:pPr>
      <w:r w:rsidRPr="005254AB">
        <w:rPr>
          <w:rFonts w:asciiTheme="majorBidi" w:hAnsiTheme="majorBidi" w:cstheme="majorBidi"/>
          <w:bCs/>
          <w:sz w:val="20"/>
          <w:szCs w:val="20"/>
        </w:rPr>
        <w:t>Frequency and percentage of non-numerical data.</w:t>
      </w:r>
    </w:p>
    <w:p w:rsidR="00482E8E" w:rsidRPr="005254AB" w:rsidRDefault="00482E8E" w:rsidP="000F34FC">
      <w:pPr>
        <w:widowControl w:val="0"/>
        <w:bidi w:val="0"/>
        <w:spacing w:after="0" w:line="240" w:lineRule="auto"/>
        <w:jc w:val="both"/>
        <w:rPr>
          <w:rFonts w:asciiTheme="majorBidi" w:hAnsiTheme="majorBidi" w:cstheme="majorBidi"/>
          <w:b/>
          <w:i/>
          <w:iCs/>
          <w:sz w:val="20"/>
          <w:szCs w:val="20"/>
        </w:rPr>
      </w:pPr>
      <w:r w:rsidRPr="005254AB">
        <w:rPr>
          <w:rFonts w:asciiTheme="majorBidi" w:hAnsiTheme="majorBidi" w:cstheme="majorBidi"/>
          <w:b/>
          <w:i/>
          <w:iCs/>
          <w:sz w:val="20"/>
          <w:szCs w:val="20"/>
        </w:rPr>
        <w:t xml:space="preserve">Analytical statistics: </w:t>
      </w:r>
    </w:p>
    <w:p w:rsidR="00482E8E" w:rsidRPr="005254AB" w:rsidRDefault="00482E8E" w:rsidP="00AD5621">
      <w:pPr>
        <w:widowControl w:val="0"/>
        <w:numPr>
          <w:ilvl w:val="0"/>
          <w:numId w:val="17"/>
        </w:numPr>
        <w:bidi w:val="0"/>
        <w:spacing w:after="0" w:line="240" w:lineRule="auto"/>
        <w:ind w:left="450"/>
        <w:jc w:val="both"/>
        <w:rPr>
          <w:rFonts w:asciiTheme="majorBidi" w:hAnsiTheme="majorBidi" w:cstheme="majorBidi"/>
          <w:bCs/>
          <w:sz w:val="20"/>
          <w:szCs w:val="20"/>
        </w:rPr>
      </w:pPr>
      <w:r w:rsidRPr="005254AB">
        <w:rPr>
          <w:rFonts w:asciiTheme="majorBidi" w:hAnsiTheme="majorBidi" w:cstheme="majorBidi"/>
          <w:bCs/>
          <w:sz w:val="20"/>
          <w:szCs w:val="20"/>
        </w:rPr>
        <w:t>Kruskal-Wallis test was used to assess the statistical significance of the difference of a non-parametric variable between more than two study groups.</w:t>
      </w:r>
    </w:p>
    <w:p w:rsidR="00482E8E" w:rsidRPr="005254AB" w:rsidRDefault="00482E8E" w:rsidP="00AD5621">
      <w:pPr>
        <w:widowControl w:val="0"/>
        <w:numPr>
          <w:ilvl w:val="0"/>
          <w:numId w:val="17"/>
        </w:numPr>
        <w:bidi w:val="0"/>
        <w:spacing w:after="0" w:line="240" w:lineRule="auto"/>
        <w:ind w:left="450"/>
        <w:jc w:val="both"/>
        <w:rPr>
          <w:rFonts w:asciiTheme="majorBidi" w:hAnsiTheme="majorBidi" w:cstheme="majorBidi"/>
          <w:bCs/>
          <w:sz w:val="20"/>
          <w:szCs w:val="20"/>
        </w:rPr>
      </w:pPr>
      <w:r w:rsidRPr="005254AB">
        <w:rPr>
          <w:rFonts w:asciiTheme="majorBidi" w:hAnsiTheme="majorBidi" w:cstheme="majorBidi"/>
          <w:bCs/>
          <w:sz w:val="20"/>
          <w:szCs w:val="20"/>
        </w:rPr>
        <w:t>one-way ANOVA for continuous normally distributed variables. Post hoc analysis after ANOVA was performed using the Tukey test.  ,with post hoc analysis by means of the Mann–Whitney U test</w:t>
      </w:r>
    </w:p>
    <w:p w:rsidR="005254AB" w:rsidRDefault="005254AB" w:rsidP="000F34FC">
      <w:pPr>
        <w:widowControl w:val="0"/>
        <w:bidi w:val="0"/>
        <w:spacing w:after="0" w:line="240" w:lineRule="auto"/>
        <w:jc w:val="both"/>
        <w:rPr>
          <w:rFonts w:asciiTheme="majorBidi" w:hAnsiTheme="majorBidi" w:cstheme="majorBidi"/>
          <w:b/>
          <w:sz w:val="20"/>
          <w:szCs w:val="20"/>
        </w:rPr>
        <w:sectPr w:rsidR="005254AB" w:rsidSect="005254AB">
          <w:type w:val="continuous"/>
          <w:pgSz w:w="11906" w:h="16838" w:code="9"/>
          <w:pgMar w:top="1440" w:right="1800" w:bottom="1440" w:left="1800" w:header="706" w:footer="706" w:gutter="0"/>
          <w:cols w:num="2" w:space="720"/>
        </w:sectPr>
      </w:pPr>
    </w:p>
    <w:p w:rsidR="004E65E0" w:rsidRPr="005254AB" w:rsidRDefault="000F34FC" w:rsidP="000F34FC">
      <w:pPr>
        <w:widowControl w:val="0"/>
        <w:bidi w:val="0"/>
        <w:spacing w:after="0" w:line="240" w:lineRule="auto"/>
        <w:jc w:val="both"/>
        <w:rPr>
          <w:rFonts w:asciiTheme="majorBidi" w:eastAsia="Times New Roman" w:hAnsiTheme="majorBidi" w:cstheme="majorBidi"/>
          <w:bCs/>
          <w:sz w:val="20"/>
          <w:szCs w:val="20"/>
        </w:rPr>
      </w:pPr>
      <w:r w:rsidRPr="005254AB">
        <w:rPr>
          <w:rFonts w:asciiTheme="majorBidi" w:hAnsiTheme="majorBidi" w:cstheme="majorBidi"/>
          <w:b/>
          <w:sz w:val="20"/>
          <w:szCs w:val="20"/>
        </w:rPr>
        <w:lastRenderedPageBreak/>
        <w:t>3.</w:t>
      </w:r>
      <w:r w:rsidR="005C6C25" w:rsidRPr="005254AB">
        <w:rPr>
          <w:rFonts w:asciiTheme="majorBidi" w:hAnsiTheme="majorBidi" w:cstheme="majorBidi"/>
          <w:b/>
          <w:sz w:val="20"/>
          <w:szCs w:val="20"/>
        </w:rPr>
        <w:t>Results:</w:t>
      </w:r>
    </w:p>
    <w:p w:rsidR="00406979" w:rsidRPr="00406979" w:rsidRDefault="00406979" w:rsidP="00406979">
      <w:pPr>
        <w:bidi w:val="0"/>
        <w:spacing w:before="100" w:beforeAutospacing="1" w:after="100" w:afterAutospacing="1" w:line="240" w:lineRule="auto"/>
        <w:rPr>
          <w:rFonts w:asciiTheme="majorBidi" w:hAnsiTheme="majorBidi" w:cstheme="majorBidi"/>
          <w:i/>
          <w:iCs/>
          <w:sz w:val="20"/>
          <w:szCs w:val="20"/>
        </w:rPr>
      </w:pPr>
      <w:r w:rsidRPr="00406979">
        <w:rPr>
          <w:rFonts w:asciiTheme="majorBidi" w:hAnsiTheme="majorBidi" w:cstheme="majorBidi"/>
          <w:b/>
          <w:bCs/>
          <w:i/>
          <w:iCs/>
          <w:sz w:val="20"/>
          <w:szCs w:val="20"/>
        </w:rPr>
        <w:t xml:space="preserve">Table (1): </w:t>
      </w:r>
      <w:r w:rsidRPr="00406979">
        <w:rPr>
          <w:rFonts w:asciiTheme="majorBidi" w:hAnsiTheme="majorBidi" w:cstheme="majorBidi"/>
          <w:i/>
          <w:iCs/>
          <w:sz w:val="20"/>
          <w:szCs w:val="20"/>
        </w:rPr>
        <w:t>Operative time and</w:t>
      </w:r>
      <w:r w:rsidRPr="00406979">
        <w:rPr>
          <w:rFonts w:asciiTheme="majorBidi" w:hAnsiTheme="majorBidi" w:cstheme="majorBidi"/>
          <w:b/>
          <w:bCs/>
          <w:i/>
          <w:iCs/>
          <w:sz w:val="20"/>
          <w:szCs w:val="20"/>
        </w:rPr>
        <w:t xml:space="preserve"> </w:t>
      </w:r>
      <w:r w:rsidRPr="00406979">
        <w:rPr>
          <w:rFonts w:asciiTheme="majorBidi" w:hAnsiTheme="majorBidi" w:cstheme="majorBidi"/>
          <w:i/>
          <w:iCs/>
          <w:sz w:val="20"/>
          <w:szCs w:val="20"/>
        </w:rPr>
        <w:t>hospital stay between the two studied groups.</w:t>
      </w:r>
    </w:p>
    <w:tbl>
      <w:tblPr>
        <w:tblW w:w="103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3780"/>
        <w:gridCol w:w="2250"/>
        <w:gridCol w:w="2160"/>
        <w:gridCol w:w="1035"/>
        <w:gridCol w:w="1170"/>
      </w:tblGrid>
      <w:tr w:rsidR="00406979" w:rsidRPr="00406979" w:rsidTr="00406979">
        <w:trPr>
          <w:trHeight w:val="540"/>
          <w:jc w:val="center"/>
        </w:trPr>
        <w:tc>
          <w:tcPr>
            <w:tcW w:w="3780" w:type="dxa"/>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p>
        </w:tc>
        <w:tc>
          <w:tcPr>
            <w:tcW w:w="2250" w:type="dxa"/>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Group I</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i/>
                <w:iCs/>
                <w:sz w:val="20"/>
                <w:szCs w:val="20"/>
              </w:rPr>
            </w:pPr>
            <w:r w:rsidRPr="00406979">
              <w:rPr>
                <w:rFonts w:asciiTheme="majorBidi" w:hAnsiTheme="majorBidi" w:cstheme="majorBidi"/>
                <w:i/>
                <w:iCs/>
                <w:sz w:val="20"/>
                <w:szCs w:val="20"/>
              </w:rPr>
              <w:t>(n=20)</w:t>
            </w:r>
          </w:p>
        </w:tc>
        <w:tc>
          <w:tcPr>
            <w:tcW w:w="2160" w:type="dxa"/>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Group II </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(n=20)</w:t>
            </w:r>
          </w:p>
        </w:tc>
        <w:tc>
          <w:tcPr>
            <w:tcW w:w="1035" w:type="dxa"/>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T</w:t>
            </w:r>
          </w:p>
        </w:tc>
        <w:tc>
          <w:tcPr>
            <w:tcW w:w="1170" w:type="dxa"/>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p</w:t>
            </w:r>
          </w:p>
        </w:tc>
      </w:tr>
      <w:tr w:rsidR="00406979" w:rsidRPr="00406979" w:rsidTr="00406979">
        <w:trPr>
          <w:trHeight w:val="1008"/>
          <w:jc w:val="center"/>
        </w:trPr>
        <w:tc>
          <w:tcPr>
            <w:tcW w:w="3780" w:type="dxa"/>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Operative time </w:t>
            </w:r>
            <w:r w:rsidRPr="00406979">
              <w:rPr>
                <w:rFonts w:asciiTheme="majorBidi" w:hAnsiTheme="majorBidi" w:cstheme="majorBidi"/>
                <w:i/>
                <w:iCs/>
                <w:sz w:val="20"/>
                <w:szCs w:val="20"/>
              </w:rPr>
              <w:t>(min)</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89.65 ± 16.42</w:t>
            </w:r>
          </w:p>
        </w:tc>
        <w:tc>
          <w:tcPr>
            <w:tcW w:w="216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96.43 ± 14.65</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1.38</w:t>
            </w:r>
          </w:p>
        </w:tc>
        <w:tc>
          <w:tcPr>
            <w:tcW w:w="117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.176</w:t>
            </w:r>
          </w:p>
        </w:tc>
      </w:tr>
      <w:tr w:rsidR="00406979" w:rsidRPr="00406979" w:rsidTr="00406979">
        <w:trPr>
          <w:trHeight w:val="1008"/>
          <w:jc w:val="center"/>
        </w:trPr>
        <w:tc>
          <w:tcPr>
            <w:tcW w:w="3780" w:type="dxa"/>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Hospital stay </w:t>
            </w:r>
            <w:r w:rsidRPr="00406979">
              <w:rPr>
                <w:rFonts w:asciiTheme="majorBidi" w:hAnsiTheme="majorBidi" w:cstheme="majorBidi"/>
                <w:i/>
                <w:iCs/>
                <w:sz w:val="20"/>
                <w:szCs w:val="20"/>
              </w:rPr>
              <w:t>(days)</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i/>
                <w:iCs/>
                <w:sz w:val="20"/>
                <w:szCs w:val="20"/>
              </w:rPr>
            </w:pPr>
            <w:r w:rsidRPr="00406979">
              <w:rPr>
                <w:rFonts w:asciiTheme="majorBidi" w:hAnsiTheme="majorBidi" w:cstheme="majorBidi"/>
                <w:i/>
                <w:iCs/>
                <w:sz w:val="20"/>
                <w:szCs w:val="20"/>
              </w:rPr>
              <w:t>Mean ± SD</w:t>
            </w:r>
          </w:p>
        </w:tc>
        <w:tc>
          <w:tcPr>
            <w:tcW w:w="225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2.72 ± 0.678</w:t>
            </w:r>
          </w:p>
        </w:tc>
        <w:tc>
          <w:tcPr>
            <w:tcW w:w="216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2.32 ± 0.821</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1.68</w:t>
            </w:r>
          </w:p>
        </w:tc>
        <w:tc>
          <w:tcPr>
            <w:tcW w:w="117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.101</w:t>
            </w:r>
          </w:p>
        </w:tc>
      </w:tr>
    </w:tbl>
    <w:p w:rsidR="00406979" w:rsidRPr="00406979" w:rsidRDefault="00406979" w:rsidP="00406979">
      <w:pPr>
        <w:tabs>
          <w:tab w:val="left" w:pos="2621"/>
          <w:tab w:val="right" w:pos="8306"/>
        </w:tabs>
        <w:bidi w:val="0"/>
        <w:spacing w:before="100" w:beforeAutospacing="1" w:after="100" w:afterAutospacing="1" w:line="240" w:lineRule="auto"/>
        <w:jc w:val="lowKashida"/>
        <w:rPr>
          <w:rFonts w:asciiTheme="majorBidi" w:hAnsiTheme="majorBidi" w:cstheme="majorBidi"/>
          <w:b/>
          <w:bCs/>
          <w:i/>
          <w:iCs/>
          <w:sz w:val="20"/>
          <w:szCs w:val="20"/>
          <w:lang w:bidi="ar-EG"/>
        </w:rPr>
      </w:pPr>
      <w:r w:rsidRPr="00406979">
        <w:rPr>
          <w:rFonts w:asciiTheme="majorBidi" w:hAnsiTheme="majorBidi" w:cstheme="majorBidi"/>
          <w:b/>
          <w:bCs/>
          <w:i/>
          <w:iCs/>
          <w:sz w:val="20"/>
          <w:szCs w:val="20"/>
          <w:lang w:bidi="ar-EG"/>
        </w:rPr>
        <w:t>This table shows that:</w:t>
      </w:r>
    </w:p>
    <w:p w:rsidR="00406979" w:rsidRPr="00406979" w:rsidRDefault="00406979" w:rsidP="00406979">
      <w:pPr>
        <w:bidi w:val="0"/>
        <w:spacing w:before="100" w:beforeAutospacing="1" w:after="100" w:afterAutospacing="1" w:line="240" w:lineRule="auto"/>
        <w:jc w:val="lowKashida"/>
        <w:rPr>
          <w:rFonts w:asciiTheme="majorBidi" w:hAnsiTheme="majorBidi" w:cstheme="majorBidi"/>
          <w:i/>
          <w:iCs/>
          <w:sz w:val="20"/>
          <w:szCs w:val="20"/>
          <w:lang w:bidi="ar-EG"/>
        </w:rPr>
      </w:pPr>
      <w:r w:rsidRPr="00406979">
        <w:rPr>
          <w:rFonts w:asciiTheme="majorBidi" w:hAnsiTheme="majorBidi" w:cstheme="majorBidi"/>
          <w:i/>
          <w:iCs/>
          <w:sz w:val="20"/>
          <w:szCs w:val="20"/>
          <w:lang w:bidi="ar-EG"/>
        </w:rPr>
        <w:t>There is no significant difference between the two studied groups as regard operative time and hospital stay.</w:t>
      </w:r>
    </w:p>
    <w:p w:rsidR="00E47047" w:rsidRDefault="00E47047" w:rsidP="00406979">
      <w:pPr>
        <w:bidi w:val="0"/>
        <w:spacing w:before="100" w:beforeAutospacing="1" w:after="100" w:afterAutospacing="1" w:line="240" w:lineRule="auto"/>
        <w:jc w:val="both"/>
        <w:rPr>
          <w:rFonts w:asciiTheme="majorBidi" w:hAnsiTheme="majorBidi" w:cstheme="majorBidi"/>
          <w:b/>
          <w:bCs/>
          <w:i/>
          <w:iCs/>
          <w:sz w:val="20"/>
          <w:szCs w:val="20"/>
        </w:rPr>
      </w:pPr>
    </w:p>
    <w:p w:rsidR="00E47047" w:rsidRDefault="00E47047" w:rsidP="00E47047">
      <w:pPr>
        <w:bidi w:val="0"/>
        <w:spacing w:before="100" w:beforeAutospacing="1" w:after="100" w:afterAutospacing="1" w:line="240" w:lineRule="auto"/>
        <w:jc w:val="both"/>
        <w:rPr>
          <w:rFonts w:asciiTheme="majorBidi" w:hAnsiTheme="majorBidi" w:cstheme="majorBidi"/>
          <w:b/>
          <w:bCs/>
          <w:i/>
          <w:iCs/>
          <w:sz w:val="20"/>
          <w:szCs w:val="20"/>
        </w:rPr>
      </w:pPr>
    </w:p>
    <w:p w:rsidR="00406979" w:rsidRPr="00406979" w:rsidRDefault="00406979" w:rsidP="00E47047">
      <w:pPr>
        <w:bidi w:val="0"/>
        <w:spacing w:before="100" w:beforeAutospacing="1" w:after="100" w:afterAutospacing="1" w:line="240" w:lineRule="auto"/>
        <w:jc w:val="both"/>
        <w:rPr>
          <w:rFonts w:asciiTheme="majorBidi" w:hAnsiTheme="majorBidi" w:cstheme="majorBidi"/>
          <w:i/>
          <w:iCs/>
          <w:sz w:val="20"/>
          <w:szCs w:val="20"/>
        </w:rPr>
      </w:pPr>
      <w:r w:rsidRPr="00406979">
        <w:rPr>
          <w:rFonts w:asciiTheme="majorBidi" w:hAnsiTheme="majorBidi" w:cstheme="majorBidi"/>
          <w:b/>
          <w:bCs/>
          <w:i/>
          <w:iCs/>
          <w:sz w:val="20"/>
          <w:szCs w:val="20"/>
        </w:rPr>
        <w:lastRenderedPageBreak/>
        <w:t xml:space="preserve">Table (2): </w:t>
      </w:r>
      <w:r w:rsidRPr="00406979">
        <w:rPr>
          <w:rFonts w:asciiTheme="majorBidi" w:hAnsiTheme="majorBidi" w:cstheme="majorBidi"/>
          <w:i/>
          <w:iCs/>
          <w:sz w:val="20"/>
          <w:szCs w:val="20"/>
        </w:rPr>
        <w:t>Preoperative</w:t>
      </w:r>
      <w:r w:rsidRPr="00406979">
        <w:rPr>
          <w:rFonts w:asciiTheme="majorBidi" w:hAnsiTheme="majorBidi" w:cstheme="majorBidi"/>
          <w:b/>
          <w:bCs/>
          <w:i/>
          <w:iCs/>
          <w:sz w:val="20"/>
          <w:szCs w:val="20"/>
        </w:rPr>
        <w:t xml:space="preserve"> </w:t>
      </w:r>
      <w:r w:rsidRPr="00406979">
        <w:rPr>
          <w:rFonts w:asciiTheme="majorBidi" w:hAnsiTheme="majorBidi" w:cstheme="majorBidi"/>
          <w:i/>
          <w:iCs/>
          <w:sz w:val="20"/>
          <w:szCs w:val="20"/>
        </w:rPr>
        <w:t>laboratory parameters between the two studied groups</w:t>
      </w:r>
    </w:p>
    <w:tbl>
      <w:tblPr>
        <w:tblW w:w="976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3285"/>
        <w:gridCol w:w="2250"/>
        <w:gridCol w:w="2160"/>
        <w:gridCol w:w="1035"/>
        <w:gridCol w:w="1035"/>
      </w:tblGrid>
      <w:tr w:rsidR="00406979" w:rsidRPr="00406979" w:rsidTr="00406979">
        <w:trPr>
          <w:trHeight w:val="540"/>
          <w:jc w:val="center"/>
        </w:trPr>
        <w:tc>
          <w:tcPr>
            <w:tcW w:w="3285" w:type="dxa"/>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p>
        </w:tc>
        <w:tc>
          <w:tcPr>
            <w:tcW w:w="2250" w:type="dxa"/>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Group I</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i/>
                <w:iCs/>
                <w:sz w:val="20"/>
                <w:szCs w:val="20"/>
              </w:rPr>
            </w:pPr>
            <w:r w:rsidRPr="00406979">
              <w:rPr>
                <w:rFonts w:asciiTheme="majorBidi" w:hAnsiTheme="majorBidi" w:cstheme="majorBidi"/>
                <w:i/>
                <w:iCs/>
                <w:sz w:val="20"/>
                <w:szCs w:val="20"/>
              </w:rPr>
              <w:t>(n=20)</w:t>
            </w:r>
          </w:p>
        </w:tc>
        <w:tc>
          <w:tcPr>
            <w:tcW w:w="2160" w:type="dxa"/>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Group II </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(n=20)</w:t>
            </w:r>
          </w:p>
        </w:tc>
        <w:tc>
          <w:tcPr>
            <w:tcW w:w="1035" w:type="dxa"/>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T</w:t>
            </w:r>
          </w:p>
        </w:tc>
        <w:tc>
          <w:tcPr>
            <w:tcW w:w="1035" w:type="dxa"/>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p</w:t>
            </w:r>
          </w:p>
        </w:tc>
      </w:tr>
      <w:tr w:rsidR="00406979" w:rsidRPr="00406979" w:rsidTr="00406979">
        <w:trPr>
          <w:trHeight w:val="720"/>
          <w:jc w:val="center"/>
        </w:trPr>
        <w:tc>
          <w:tcPr>
            <w:tcW w:w="3285" w:type="dxa"/>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TC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tcBorders>
              <w:top w:val="single" w:sz="4" w:space="0" w:color="auto"/>
              <w:bottom w:val="single" w:sz="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211.47 ± 34.32</w:t>
            </w:r>
          </w:p>
        </w:tc>
        <w:tc>
          <w:tcPr>
            <w:tcW w:w="2160" w:type="dxa"/>
            <w:tcBorders>
              <w:top w:val="single" w:sz="4" w:space="0" w:color="auto"/>
              <w:bottom w:val="single" w:sz="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207.64 ± 34.29</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.353</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.726</w:t>
            </w:r>
          </w:p>
        </w:tc>
      </w:tr>
      <w:tr w:rsidR="00406979" w:rsidRPr="00406979" w:rsidTr="00406979">
        <w:trPr>
          <w:trHeight w:val="720"/>
          <w:jc w:val="center"/>
        </w:trPr>
        <w:tc>
          <w:tcPr>
            <w:tcW w:w="3285" w:type="dxa"/>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TG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tcBorders>
              <w:top w:val="single" w:sz="4" w:space="0" w:color="auto"/>
              <w:bottom w:val="single" w:sz="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184.56 ± 71.56</w:t>
            </w:r>
          </w:p>
        </w:tc>
        <w:tc>
          <w:tcPr>
            <w:tcW w:w="2160" w:type="dxa"/>
            <w:tcBorders>
              <w:top w:val="single" w:sz="4" w:space="0" w:color="auto"/>
              <w:bottom w:val="single" w:sz="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179.71 ± 69.21</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.218</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.829</w:t>
            </w:r>
          </w:p>
        </w:tc>
      </w:tr>
      <w:tr w:rsidR="00406979" w:rsidRPr="00406979" w:rsidTr="00406979">
        <w:trPr>
          <w:trHeight w:val="720"/>
          <w:jc w:val="center"/>
        </w:trPr>
        <w:tc>
          <w:tcPr>
            <w:tcW w:w="3285" w:type="dxa"/>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LDL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tcBorders>
              <w:top w:val="single" w:sz="4" w:space="0" w:color="auto"/>
              <w:bottom w:val="single" w:sz="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165.17 ± 27.42</w:t>
            </w:r>
          </w:p>
        </w:tc>
        <w:tc>
          <w:tcPr>
            <w:tcW w:w="2160" w:type="dxa"/>
            <w:tcBorders>
              <w:top w:val="single" w:sz="4" w:space="0" w:color="auto"/>
              <w:bottom w:val="single" w:sz="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153.47 ± 32.78</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1.22</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.228</w:t>
            </w:r>
          </w:p>
        </w:tc>
      </w:tr>
      <w:tr w:rsidR="00406979" w:rsidRPr="00406979" w:rsidTr="00406979">
        <w:trPr>
          <w:trHeight w:val="720"/>
          <w:jc w:val="center"/>
        </w:trPr>
        <w:tc>
          <w:tcPr>
            <w:tcW w:w="3285" w:type="dxa"/>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HDL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tcBorders>
              <w:top w:val="single" w:sz="4" w:space="0" w:color="auto"/>
              <w:bottom w:val="single" w:sz="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42.35 ± 10.5</w:t>
            </w:r>
          </w:p>
        </w:tc>
        <w:tc>
          <w:tcPr>
            <w:tcW w:w="2160" w:type="dxa"/>
            <w:tcBorders>
              <w:top w:val="single" w:sz="4" w:space="0" w:color="auto"/>
              <w:bottom w:val="single" w:sz="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42.01 ± 5.11</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.131</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.897</w:t>
            </w:r>
          </w:p>
        </w:tc>
      </w:tr>
      <w:tr w:rsidR="00406979" w:rsidRPr="00406979" w:rsidTr="00406979">
        <w:trPr>
          <w:trHeight w:val="720"/>
          <w:jc w:val="center"/>
        </w:trPr>
        <w:tc>
          <w:tcPr>
            <w:tcW w:w="3285" w:type="dxa"/>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FBS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tcBorders>
              <w:top w:val="single" w:sz="4" w:space="0" w:color="auto"/>
              <w:bottom w:val="single" w:sz="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168.94 ± 56.22</w:t>
            </w:r>
          </w:p>
        </w:tc>
        <w:tc>
          <w:tcPr>
            <w:tcW w:w="2160" w:type="dxa"/>
            <w:tcBorders>
              <w:top w:val="single" w:sz="4" w:space="0" w:color="auto"/>
              <w:bottom w:val="single" w:sz="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172.6 ± 69.11</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.184</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.855</w:t>
            </w:r>
          </w:p>
        </w:tc>
      </w:tr>
      <w:tr w:rsidR="00406979" w:rsidRPr="00406979" w:rsidTr="00406979">
        <w:trPr>
          <w:trHeight w:val="720"/>
          <w:jc w:val="center"/>
        </w:trPr>
        <w:tc>
          <w:tcPr>
            <w:tcW w:w="3285" w:type="dxa"/>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HbA1c </w:t>
            </w:r>
            <w:r w:rsidRPr="00406979">
              <w:rPr>
                <w:rFonts w:asciiTheme="majorBidi" w:hAnsiTheme="majorBidi" w:cstheme="majorBidi"/>
                <w:i/>
                <w:iCs/>
                <w:sz w:val="20"/>
                <w:szCs w:val="20"/>
              </w:rPr>
              <w:t>(%)</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tcBorders>
              <w:top w:val="single" w:sz="4" w:space="0" w:color="auto"/>
              <w:bottom w:val="thickThinSmallGap" w:sz="2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 xml:space="preserve">9.54 ± 2.11 </w:t>
            </w:r>
          </w:p>
        </w:tc>
        <w:tc>
          <w:tcPr>
            <w:tcW w:w="2160" w:type="dxa"/>
            <w:tcBorders>
              <w:top w:val="single" w:sz="4" w:space="0" w:color="auto"/>
              <w:bottom w:val="thickThinSmallGap" w:sz="2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9.26 ± 2.24</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.407</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.686</w:t>
            </w:r>
          </w:p>
        </w:tc>
      </w:tr>
    </w:tbl>
    <w:p w:rsidR="00406979" w:rsidRPr="00406979" w:rsidRDefault="00406979" w:rsidP="00406979">
      <w:pPr>
        <w:tabs>
          <w:tab w:val="left" w:pos="2621"/>
          <w:tab w:val="right" w:pos="8306"/>
        </w:tabs>
        <w:bidi w:val="0"/>
        <w:spacing w:before="100" w:beforeAutospacing="1" w:after="100" w:afterAutospacing="1" w:line="240" w:lineRule="auto"/>
        <w:jc w:val="lowKashida"/>
        <w:rPr>
          <w:rFonts w:asciiTheme="majorBidi" w:hAnsiTheme="majorBidi" w:cstheme="majorBidi"/>
          <w:i/>
          <w:iCs/>
          <w:sz w:val="20"/>
          <w:szCs w:val="20"/>
          <w:lang w:bidi="ar-EG"/>
        </w:rPr>
      </w:pPr>
      <w:r w:rsidRPr="00406979">
        <w:rPr>
          <w:rFonts w:asciiTheme="majorBidi" w:hAnsiTheme="majorBidi" w:cstheme="majorBidi"/>
          <w:i/>
          <w:iCs/>
          <w:sz w:val="20"/>
          <w:szCs w:val="20"/>
          <w:lang w:bidi="ar-EG"/>
        </w:rPr>
        <w:t>This table shows that there is no significant difference between the two studied groups regarding preoperative studied parameters.</w:t>
      </w:r>
    </w:p>
    <w:p w:rsidR="00406979" w:rsidRPr="00406979" w:rsidRDefault="00406979" w:rsidP="00406979">
      <w:pPr>
        <w:bidi w:val="0"/>
        <w:spacing w:before="100" w:beforeAutospacing="1" w:after="100" w:afterAutospacing="1" w:line="240" w:lineRule="auto"/>
        <w:jc w:val="both"/>
        <w:rPr>
          <w:rFonts w:asciiTheme="majorBidi" w:hAnsiTheme="majorBidi" w:cstheme="majorBidi"/>
          <w:i/>
          <w:iCs/>
          <w:sz w:val="20"/>
          <w:szCs w:val="20"/>
        </w:rPr>
      </w:pPr>
      <w:r w:rsidRPr="00406979">
        <w:rPr>
          <w:rFonts w:asciiTheme="majorBidi" w:hAnsiTheme="majorBidi" w:cstheme="majorBidi"/>
          <w:b/>
          <w:bCs/>
          <w:i/>
          <w:iCs/>
          <w:sz w:val="20"/>
          <w:szCs w:val="20"/>
        </w:rPr>
        <w:t xml:space="preserve">Table (3): </w:t>
      </w:r>
      <w:r w:rsidRPr="00406979">
        <w:rPr>
          <w:rFonts w:asciiTheme="majorBidi" w:hAnsiTheme="majorBidi" w:cstheme="majorBidi"/>
          <w:i/>
          <w:iCs/>
          <w:sz w:val="20"/>
          <w:szCs w:val="20"/>
        </w:rPr>
        <w:t>3-months postoperative laboratory parameters between the two studied groups</w:t>
      </w:r>
    </w:p>
    <w:tbl>
      <w:tblPr>
        <w:tblW w:w="976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3285"/>
        <w:gridCol w:w="2250"/>
        <w:gridCol w:w="2160"/>
        <w:gridCol w:w="1035"/>
        <w:gridCol w:w="1035"/>
      </w:tblGrid>
      <w:tr w:rsidR="00406979" w:rsidRPr="00406979" w:rsidTr="00406979">
        <w:trPr>
          <w:trHeight w:val="540"/>
          <w:jc w:val="center"/>
        </w:trPr>
        <w:tc>
          <w:tcPr>
            <w:tcW w:w="3285" w:type="dxa"/>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p>
        </w:tc>
        <w:tc>
          <w:tcPr>
            <w:tcW w:w="2250" w:type="dxa"/>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Group I</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i/>
                <w:iCs/>
                <w:sz w:val="20"/>
                <w:szCs w:val="20"/>
              </w:rPr>
            </w:pPr>
            <w:r w:rsidRPr="00406979">
              <w:rPr>
                <w:rFonts w:asciiTheme="majorBidi" w:hAnsiTheme="majorBidi" w:cstheme="majorBidi"/>
                <w:i/>
                <w:iCs/>
                <w:sz w:val="20"/>
                <w:szCs w:val="20"/>
              </w:rPr>
              <w:t>(n=20)</w:t>
            </w:r>
          </w:p>
        </w:tc>
        <w:tc>
          <w:tcPr>
            <w:tcW w:w="2160" w:type="dxa"/>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Group II </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(n=20)</w:t>
            </w:r>
          </w:p>
        </w:tc>
        <w:tc>
          <w:tcPr>
            <w:tcW w:w="1035" w:type="dxa"/>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t</w:t>
            </w:r>
          </w:p>
        </w:tc>
        <w:tc>
          <w:tcPr>
            <w:tcW w:w="1035" w:type="dxa"/>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P</w:t>
            </w:r>
          </w:p>
        </w:tc>
      </w:tr>
      <w:tr w:rsidR="00406979" w:rsidRPr="00406979" w:rsidTr="00406979">
        <w:trPr>
          <w:trHeight w:val="792"/>
          <w:jc w:val="center"/>
        </w:trPr>
        <w:tc>
          <w:tcPr>
            <w:tcW w:w="3285" w:type="dxa"/>
            <w:shd w:val="clear" w:color="auto" w:fill="FABF8F" w:themeFill="accent6" w:themeFillTint="99"/>
            <w:vAlign w:val="center"/>
            <w:hideMark/>
          </w:tcPr>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TC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201.65 ± 30.94</w:t>
            </w:r>
          </w:p>
        </w:tc>
        <w:tc>
          <w:tcPr>
            <w:tcW w:w="2160" w:type="dxa"/>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199.75 ± 32.83</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1.88</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.852</w:t>
            </w:r>
          </w:p>
        </w:tc>
      </w:tr>
      <w:tr w:rsidR="00406979" w:rsidRPr="00406979" w:rsidTr="00406979">
        <w:trPr>
          <w:trHeight w:val="792"/>
          <w:jc w:val="center"/>
        </w:trPr>
        <w:tc>
          <w:tcPr>
            <w:tcW w:w="3285" w:type="dxa"/>
            <w:shd w:val="clear" w:color="auto" w:fill="FABF8F" w:themeFill="accent6" w:themeFillTint="99"/>
            <w:vAlign w:val="center"/>
            <w:hideMark/>
          </w:tcPr>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TG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179.31 ± 55.17</w:t>
            </w:r>
          </w:p>
        </w:tc>
        <w:tc>
          <w:tcPr>
            <w:tcW w:w="2160" w:type="dxa"/>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177.32 ± 35.53</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.136</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.893</w:t>
            </w:r>
          </w:p>
        </w:tc>
      </w:tr>
      <w:tr w:rsidR="00406979" w:rsidRPr="00406979" w:rsidTr="00406979">
        <w:trPr>
          <w:trHeight w:val="792"/>
          <w:jc w:val="center"/>
        </w:trPr>
        <w:tc>
          <w:tcPr>
            <w:tcW w:w="3285" w:type="dxa"/>
            <w:shd w:val="clear" w:color="auto" w:fill="FABF8F" w:themeFill="accent6" w:themeFillTint="99"/>
            <w:vAlign w:val="center"/>
            <w:hideMark/>
          </w:tcPr>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LDL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155.26 ± 24.31</w:t>
            </w:r>
          </w:p>
        </w:tc>
        <w:tc>
          <w:tcPr>
            <w:tcW w:w="2160" w:type="dxa"/>
            <w:shd w:val="clear" w:color="auto" w:fill="FFFFFF"/>
            <w:vAlign w:val="center"/>
            <w:hideMark/>
          </w:tcPr>
          <w:p w:rsidR="00406979" w:rsidRPr="00406979" w:rsidRDefault="00406979" w:rsidP="00406979">
            <w:pPr>
              <w:autoSpaceDE w:val="0"/>
              <w:autoSpaceDN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150.39 ± 35.56</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.506</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.616</w:t>
            </w:r>
          </w:p>
        </w:tc>
      </w:tr>
      <w:tr w:rsidR="00406979" w:rsidRPr="00406979" w:rsidTr="00406979">
        <w:trPr>
          <w:trHeight w:val="792"/>
          <w:jc w:val="center"/>
        </w:trPr>
        <w:tc>
          <w:tcPr>
            <w:tcW w:w="3285" w:type="dxa"/>
            <w:shd w:val="clear" w:color="auto" w:fill="FABF8F" w:themeFill="accent6" w:themeFillTint="99"/>
            <w:vAlign w:val="center"/>
            <w:hideMark/>
          </w:tcPr>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HDL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44.07 ± 9.75</w:t>
            </w:r>
          </w:p>
        </w:tc>
        <w:tc>
          <w:tcPr>
            <w:tcW w:w="2160" w:type="dxa"/>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43.77 ± 3.65</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.129</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.898</w:t>
            </w:r>
          </w:p>
        </w:tc>
      </w:tr>
      <w:tr w:rsidR="00406979" w:rsidRPr="00406979" w:rsidTr="00406979">
        <w:trPr>
          <w:trHeight w:val="792"/>
          <w:jc w:val="center"/>
        </w:trPr>
        <w:tc>
          <w:tcPr>
            <w:tcW w:w="3285" w:type="dxa"/>
            <w:shd w:val="clear" w:color="auto" w:fill="FABF8F" w:themeFill="accent6" w:themeFillTint="99"/>
            <w:vAlign w:val="center"/>
          </w:tcPr>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FBS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148.7 ± 39.6</w:t>
            </w:r>
          </w:p>
        </w:tc>
        <w:tc>
          <w:tcPr>
            <w:tcW w:w="216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153.22 ± 41.3</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.353</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.726</w:t>
            </w:r>
          </w:p>
        </w:tc>
      </w:tr>
      <w:tr w:rsidR="00406979" w:rsidRPr="00406979" w:rsidTr="00406979">
        <w:trPr>
          <w:trHeight w:val="792"/>
          <w:jc w:val="center"/>
        </w:trPr>
        <w:tc>
          <w:tcPr>
            <w:tcW w:w="3285" w:type="dxa"/>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HbA1c </w:t>
            </w:r>
            <w:r w:rsidRPr="00406979">
              <w:rPr>
                <w:rFonts w:asciiTheme="majorBidi" w:hAnsiTheme="majorBidi" w:cstheme="majorBidi"/>
                <w:i/>
                <w:iCs/>
                <w:sz w:val="20"/>
                <w:szCs w:val="20"/>
              </w:rPr>
              <w:t>(%)</w:t>
            </w:r>
          </w:p>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9.14 ± 1.93</w:t>
            </w:r>
          </w:p>
        </w:tc>
        <w:tc>
          <w:tcPr>
            <w:tcW w:w="216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8.95 ± 1.38</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.358</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.722</w:t>
            </w:r>
          </w:p>
        </w:tc>
      </w:tr>
    </w:tbl>
    <w:p w:rsidR="00406979" w:rsidRPr="00406979" w:rsidRDefault="00406979" w:rsidP="00E47047">
      <w:pPr>
        <w:tabs>
          <w:tab w:val="left" w:pos="2621"/>
          <w:tab w:val="right" w:pos="8306"/>
        </w:tabs>
        <w:bidi w:val="0"/>
        <w:spacing w:after="100" w:afterAutospacing="1" w:line="240" w:lineRule="auto"/>
        <w:jc w:val="lowKashida"/>
        <w:rPr>
          <w:rFonts w:asciiTheme="majorBidi" w:hAnsiTheme="majorBidi" w:cstheme="majorBidi"/>
          <w:b/>
          <w:bCs/>
          <w:sz w:val="20"/>
          <w:szCs w:val="20"/>
          <w:lang w:bidi="ar-EG"/>
        </w:rPr>
      </w:pPr>
      <w:r w:rsidRPr="00406979">
        <w:rPr>
          <w:rFonts w:asciiTheme="majorBidi" w:hAnsiTheme="majorBidi" w:cstheme="majorBidi"/>
          <w:b/>
          <w:bCs/>
          <w:sz w:val="20"/>
          <w:szCs w:val="20"/>
          <w:lang w:bidi="ar-EG"/>
        </w:rPr>
        <w:t>This table shows that:</w:t>
      </w:r>
    </w:p>
    <w:p w:rsidR="00406979" w:rsidRPr="00406979" w:rsidRDefault="00406979" w:rsidP="00E47047">
      <w:pPr>
        <w:bidi w:val="0"/>
        <w:spacing w:after="100" w:afterAutospacing="1" w:line="240" w:lineRule="auto"/>
        <w:jc w:val="lowKashida"/>
        <w:rPr>
          <w:rFonts w:asciiTheme="majorBidi" w:hAnsiTheme="majorBidi" w:cstheme="majorBidi"/>
          <w:sz w:val="20"/>
          <w:szCs w:val="20"/>
          <w:lang w:bidi="ar-EG"/>
        </w:rPr>
      </w:pPr>
      <w:r w:rsidRPr="00406979">
        <w:rPr>
          <w:rFonts w:asciiTheme="majorBidi" w:hAnsiTheme="majorBidi" w:cstheme="majorBidi"/>
          <w:sz w:val="20"/>
          <w:szCs w:val="20"/>
          <w:lang w:bidi="ar-EG"/>
        </w:rPr>
        <w:t>There is no significant difference between the two studied groups regarding 3 months postoperative laboratory parameters.</w:t>
      </w:r>
    </w:p>
    <w:p w:rsidR="00406979" w:rsidRPr="00406979" w:rsidRDefault="00406979" w:rsidP="00406979">
      <w:pPr>
        <w:bidi w:val="0"/>
        <w:spacing w:before="100" w:beforeAutospacing="1" w:after="100" w:afterAutospacing="1" w:line="240" w:lineRule="auto"/>
        <w:jc w:val="both"/>
        <w:rPr>
          <w:rFonts w:asciiTheme="majorBidi" w:hAnsiTheme="majorBidi" w:cstheme="majorBidi"/>
          <w:i/>
          <w:iCs/>
          <w:sz w:val="20"/>
          <w:szCs w:val="20"/>
        </w:rPr>
      </w:pPr>
      <w:r w:rsidRPr="00406979">
        <w:rPr>
          <w:rFonts w:asciiTheme="majorBidi" w:hAnsiTheme="majorBidi" w:cstheme="majorBidi"/>
          <w:b/>
          <w:bCs/>
          <w:i/>
          <w:iCs/>
          <w:sz w:val="20"/>
          <w:szCs w:val="20"/>
        </w:rPr>
        <w:lastRenderedPageBreak/>
        <w:t xml:space="preserve">Table (4): </w:t>
      </w:r>
      <w:r w:rsidRPr="00406979">
        <w:rPr>
          <w:rFonts w:asciiTheme="majorBidi" w:hAnsiTheme="majorBidi" w:cstheme="majorBidi"/>
          <w:i/>
          <w:iCs/>
          <w:sz w:val="20"/>
          <w:szCs w:val="20"/>
        </w:rPr>
        <w:t>6-months postoperative laboratory parameters between the two studied groups</w:t>
      </w:r>
    </w:p>
    <w:tbl>
      <w:tblPr>
        <w:tblW w:w="976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3285"/>
        <w:gridCol w:w="2250"/>
        <w:gridCol w:w="2160"/>
        <w:gridCol w:w="1035"/>
        <w:gridCol w:w="1035"/>
      </w:tblGrid>
      <w:tr w:rsidR="00406979" w:rsidRPr="00406979" w:rsidTr="00406979">
        <w:trPr>
          <w:trHeight w:val="540"/>
          <w:jc w:val="center"/>
        </w:trPr>
        <w:tc>
          <w:tcPr>
            <w:tcW w:w="3285" w:type="dxa"/>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p>
        </w:tc>
        <w:tc>
          <w:tcPr>
            <w:tcW w:w="2250" w:type="dxa"/>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Group I</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i/>
                <w:iCs/>
                <w:sz w:val="20"/>
                <w:szCs w:val="20"/>
              </w:rPr>
            </w:pPr>
            <w:r w:rsidRPr="00406979">
              <w:rPr>
                <w:rFonts w:asciiTheme="majorBidi" w:hAnsiTheme="majorBidi" w:cstheme="majorBidi"/>
                <w:i/>
                <w:iCs/>
                <w:sz w:val="20"/>
                <w:szCs w:val="20"/>
              </w:rPr>
              <w:t>(n=20)</w:t>
            </w:r>
          </w:p>
        </w:tc>
        <w:tc>
          <w:tcPr>
            <w:tcW w:w="2160" w:type="dxa"/>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Group II </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(n=20)</w:t>
            </w:r>
          </w:p>
        </w:tc>
        <w:tc>
          <w:tcPr>
            <w:tcW w:w="1035" w:type="dxa"/>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t</w:t>
            </w:r>
          </w:p>
        </w:tc>
        <w:tc>
          <w:tcPr>
            <w:tcW w:w="1035" w:type="dxa"/>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P</w:t>
            </w:r>
          </w:p>
        </w:tc>
      </w:tr>
      <w:tr w:rsidR="00406979" w:rsidRPr="00406979" w:rsidTr="00406979">
        <w:trPr>
          <w:trHeight w:val="792"/>
          <w:jc w:val="center"/>
        </w:trPr>
        <w:tc>
          <w:tcPr>
            <w:tcW w:w="3285" w:type="dxa"/>
            <w:shd w:val="clear" w:color="auto" w:fill="FABF8F" w:themeFill="accent6" w:themeFillTint="99"/>
            <w:vAlign w:val="center"/>
            <w:hideMark/>
          </w:tcPr>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TC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193.24 ± 29.19</w:t>
            </w:r>
          </w:p>
        </w:tc>
        <w:tc>
          <w:tcPr>
            <w:tcW w:w="2160" w:type="dxa"/>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176.94 ± 26.51</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1.85</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.072</w:t>
            </w:r>
          </w:p>
        </w:tc>
      </w:tr>
      <w:tr w:rsidR="00406979" w:rsidRPr="00406979" w:rsidTr="00406979">
        <w:trPr>
          <w:trHeight w:val="792"/>
          <w:jc w:val="center"/>
        </w:trPr>
        <w:tc>
          <w:tcPr>
            <w:tcW w:w="3285" w:type="dxa"/>
            <w:shd w:val="clear" w:color="auto" w:fill="FABF8F" w:themeFill="accent6" w:themeFillTint="99"/>
            <w:vAlign w:val="center"/>
            <w:hideMark/>
          </w:tcPr>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TG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169.06 ± 44.09</w:t>
            </w:r>
          </w:p>
        </w:tc>
        <w:tc>
          <w:tcPr>
            <w:tcW w:w="2160" w:type="dxa"/>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133.09 ± 30.63</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3</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.005</w:t>
            </w:r>
          </w:p>
        </w:tc>
      </w:tr>
      <w:tr w:rsidR="00406979" w:rsidRPr="00406979" w:rsidTr="00406979">
        <w:trPr>
          <w:trHeight w:val="792"/>
          <w:jc w:val="center"/>
        </w:trPr>
        <w:tc>
          <w:tcPr>
            <w:tcW w:w="3285" w:type="dxa"/>
            <w:shd w:val="clear" w:color="auto" w:fill="FABF8F" w:themeFill="accent6" w:themeFillTint="99"/>
            <w:vAlign w:val="center"/>
            <w:hideMark/>
          </w:tcPr>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LDL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147.94 ± 23.83</w:t>
            </w:r>
          </w:p>
        </w:tc>
        <w:tc>
          <w:tcPr>
            <w:tcW w:w="2160" w:type="dxa"/>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122.94 ± 23.99</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3.1</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.004</w:t>
            </w:r>
          </w:p>
        </w:tc>
      </w:tr>
      <w:tr w:rsidR="00406979" w:rsidRPr="00406979" w:rsidTr="00406979">
        <w:trPr>
          <w:trHeight w:val="792"/>
          <w:jc w:val="center"/>
        </w:trPr>
        <w:tc>
          <w:tcPr>
            <w:tcW w:w="3285" w:type="dxa"/>
            <w:shd w:val="clear" w:color="auto" w:fill="FABF8F" w:themeFill="accent6" w:themeFillTint="99"/>
            <w:vAlign w:val="center"/>
            <w:hideMark/>
          </w:tcPr>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HDL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45.25 ± 8.04</w:t>
            </w:r>
          </w:p>
        </w:tc>
        <w:tc>
          <w:tcPr>
            <w:tcW w:w="2160" w:type="dxa"/>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46.9 ± 3.23</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.852</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.400</w:t>
            </w:r>
          </w:p>
        </w:tc>
      </w:tr>
      <w:tr w:rsidR="00406979" w:rsidRPr="00406979" w:rsidTr="00406979">
        <w:trPr>
          <w:trHeight w:val="792"/>
          <w:jc w:val="center"/>
        </w:trPr>
        <w:tc>
          <w:tcPr>
            <w:tcW w:w="3285" w:type="dxa"/>
            <w:shd w:val="clear" w:color="auto" w:fill="FABF8F" w:themeFill="accent6" w:themeFillTint="99"/>
            <w:vAlign w:val="center"/>
          </w:tcPr>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FBS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121.44 ± 15.39</w:t>
            </w:r>
          </w:p>
        </w:tc>
        <w:tc>
          <w:tcPr>
            <w:tcW w:w="216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105.36 ± 10.57</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3.85</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&lt;0.001</w:t>
            </w:r>
          </w:p>
        </w:tc>
      </w:tr>
      <w:tr w:rsidR="00406979" w:rsidRPr="00406979" w:rsidTr="00406979">
        <w:trPr>
          <w:trHeight w:val="792"/>
          <w:jc w:val="center"/>
        </w:trPr>
        <w:tc>
          <w:tcPr>
            <w:tcW w:w="3285" w:type="dxa"/>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HbA1c </w:t>
            </w:r>
            <w:r w:rsidRPr="00406979">
              <w:rPr>
                <w:rFonts w:asciiTheme="majorBidi" w:hAnsiTheme="majorBidi" w:cstheme="majorBidi"/>
                <w:i/>
                <w:iCs/>
                <w:sz w:val="20"/>
                <w:szCs w:val="20"/>
              </w:rPr>
              <w:t>(%)</w:t>
            </w:r>
          </w:p>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5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8.1 ± 1.67</w:t>
            </w:r>
          </w:p>
        </w:tc>
        <w:tc>
          <w:tcPr>
            <w:tcW w:w="216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6.35 ± 0.917</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4.1</w:t>
            </w:r>
          </w:p>
        </w:tc>
        <w:tc>
          <w:tcPr>
            <w:tcW w:w="1035"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&lt;0.001</w:t>
            </w:r>
          </w:p>
        </w:tc>
      </w:tr>
    </w:tbl>
    <w:p w:rsidR="00406979" w:rsidRPr="00406979" w:rsidRDefault="00406979" w:rsidP="00E47047">
      <w:pPr>
        <w:tabs>
          <w:tab w:val="left" w:pos="2621"/>
          <w:tab w:val="right" w:pos="8306"/>
        </w:tabs>
        <w:bidi w:val="0"/>
        <w:spacing w:after="0" w:line="240" w:lineRule="auto"/>
        <w:jc w:val="lowKashida"/>
        <w:rPr>
          <w:rFonts w:asciiTheme="majorBidi" w:hAnsiTheme="majorBidi" w:cstheme="majorBidi"/>
          <w:b/>
          <w:bCs/>
          <w:sz w:val="20"/>
          <w:szCs w:val="20"/>
          <w:lang w:bidi="ar-EG"/>
        </w:rPr>
      </w:pPr>
      <w:r w:rsidRPr="00406979">
        <w:rPr>
          <w:rFonts w:asciiTheme="majorBidi" w:hAnsiTheme="majorBidi" w:cstheme="majorBidi"/>
          <w:b/>
          <w:bCs/>
          <w:sz w:val="20"/>
          <w:szCs w:val="20"/>
          <w:lang w:bidi="ar-EG"/>
        </w:rPr>
        <w:t>This table shows that:</w:t>
      </w:r>
    </w:p>
    <w:p w:rsidR="00406979" w:rsidRPr="00406979" w:rsidRDefault="00406979" w:rsidP="00E47047">
      <w:pPr>
        <w:bidi w:val="0"/>
        <w:spacing w:after="0" w:line="240" w:lineRule="auto"/>
        <w:jc w:val="lowKashida"/>
        <w:rPr>
          <w:rFonts w:asciiTheme="majorBidi" w:hAnsiTheme="majorBidi" w:cstheme="majorBidi"/>
          <w:sz w:val="20"/>
          <w:szCs w:val="20"/>
          <w:lang w:bidi="ar-EG"/>
        </w:rPr>
      </w:pPr>
      <w:r w:rsidRPr="00406979">
        <w:rPr>
          <w:rFonts w:asciiTheme="majorBidi" w:hAnsiTheme="majorBidi" w:cstheme="majorBidi"/>
          <w:sz w:val="20"/>
          <w:szCs w:val="20"/>
          <w:lang w:bidi="ar-EG"/>
        </w:rPr>
        <w:t>There is a significant difference between the two studied groups regarding TG, LDL, FBS, and HbA1c.</w:t>
      </w:r>
    </w:p>
    <w:p w:rsidR="00406979" w:rsidRPr="00406979" w:rsidRDefault="00406979" w:rsidP="00406979">
      <w:pPr>
        <w:bidi w:val="0"/>
        <w:spacing w:before="100" w:beforeAutospacing="1" w:after="100" w:afterAutospacing="1" w:line="240" w:lineRule="auto"/>
        <w:jc w:val="both"/>
        <w:rPr>
          <w:rFonts w:asciiTheme="majorBidi" w:hAnsiTheme="majorBidi" w:cstheme="majorBidi"/>
          <w:i/>
          <w:iCs/>
          <w:sz w:val="20"/>
          <w:szCs w:val="20"/>
        </w:rPr>
      </w:pPr>
      <w:r w:rsidRPr="00406979">
        <w:rPr>
          <w:rFonts w:asciiTheme="majorBidi" w:hAnsiTheme="majorBidi" w:cstheme="majorBidi"/>
          <w:b/>
          <w:bCs/>
          <w:i/>
          <w:iCs/>
          <w:sz w:val="20"/>
          <w:szCs w:val="20"/>
        </w:rPr>
        <w:t xml:space="preserve">Table (5): </w:t>
      </w:r>
      <w:r w:rsidRPr="00406979">
        <w:rPr>
          <w:rFonts w:asciiTheme="majorBidi" w:hAnsiTheme="majorBidi" w:cstheme="majorBidi"/>
          <w:i/>
          <w:iCs/>
          <w:sz w:val="20"/>
          <w:szCs w:val="20"/>
        </w:rPr>
        <w:t>12-months postoperative laboratory parameters between the two studied groups</w:t>
      </w:r>
    </w:p>
    <w:tbl>
      <w:tblPr>
        <w:tblW w:w="9936"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2970"/>
        <w:gridCol w:w="2448"/>
        <w:gridCol w:w="2448"/>
        <w:gridCol w:w="1035"/>
        <w:gridCol w:w="1035"/>
      </w:tblGrid>
      <w:tr w:rsidR="00406979" w:rsidRPr="00406979" w:rsidTr="00406979">
        <w:trPr>
          <w:trHeight w:val="540"/>
          <w:jc w:val="center"/>
        </w:trPr>
        <w:tc>
          <w:tcPr>
            <w:tcW w:w="2970" w:type="dxa"/>
            <w:tcBorders>
              <w:top w:val="thinThickSmallGap" w:sz="24" w:space="0" w:color="auto"/>
              <w:left w:val="thinThickSmallGap" w:sz="24" w:space="0" w:color="auto"/>
              <w:bottom w:val="single" w:sz="6" w:space="0" w:color="auto"/>
              <w:right w:val="single" w:sz="6" w:space="0" w:color="auto"/>
            </w:tcBorders>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p>
        </w:tc>
        <w:tc>
          <w:tcPr>
            <w:tcW w:w="2448" w:type="dxa"/>
            <w:tcBorders>
              <w:top w:val="thinThickSmallGap" w:sz="24" w:space="0" w:color="auto"/>
              <w:left w:val="single" w:sz="6" w:space="0" w:color="auto"/>
              <w:bottom w:val="single" w:sz="6" w:space="0" w:color="auto"/>
              <w:right w:val="single" w:sz="6" w:space="0" w:color="auto"/>
            </w:tcBorders>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Group I</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i/>
                <w:iCs/>
                <w:sz w:val="20"/>
                <w:szCs w:val="20"/>
              </w:rPr>
            </w:pPr>
            <w:r w:rsidRPr="00406979">
              <w:rPr>
                <w:rFonts w:asciiTheme="majorBidi" w:hAnsiTheme="majorBidi" w:cstheme="majorBidi"/>
                <w:i/>
                <w:iCs/>
                <w:sz w:val="20"/>
                <w:szCs w:val="20"/>
              </w:rPr>
              <w:t>(n=20)</w:t>
            </w:r>
          </w:p>
        </w:tc>
        <w:tc>
          <w:tcPr>
            <w:tcW w:w="2448" w:type="dxa"/>
            <w:tcBorders>
              <w:top w:val="thinThickSmallGap" w:sz="24" w:space="0" w:color="auto"/>
              <w:left w:val="single" w:sz="6" w:space="0" w:color="auto"/>
              <w:bottom w:val="single" w:sz="6" w:space="0" w:color="auto"/>
              <w:right w:val="single" w:sz="6" w:space="0" w:color="auto"/>
            </w:tcBorders>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Group II </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(n=20)</w:t>
            </w:r>
          </w:p>
        </w:tc>
        <w:tc>
          <w:tcPr>
            <w:tcW w:w="1035" w:type="dxa"/>
            <w:tcBorders>
              <w:top w:val="thinThickSmallGap" w:sz="24" w:space="0" w:color="auto"/>
              <w:left w:val="single" w:sz="6" w:space="0" w:color="auto"/>
              <w:bottom w:val="single" w:sz="6" w:space="0" w:color="auto"/>
              <w:right w:val="single" w:sz="6" w:space="0" w:color="auto"/>
            </w:tcBorders>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T</w:t>
            </w:r>
          </w:p>
        </w:tc>
        <w:tc>
          <w:tcPr>
            <w:tcW w:w="1035" w:type="dxa"/>
            <w:tcBorders>
              <w:top w:val="thinThickSmallGap" w:sz="24" w:space="0" w:color="auto"/>
              <w:left w:val="single" w:sz="6" w:space="0" w:color="auto"/>
              <w:bottom w:val="single" w:sz="6" w:space="0" w:color="auto"/>
              <w:right w:val="thickThinSmallGap" w:sz="24" w:space="0" w:color="auto"/>
            </w:tcBorders>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P</w:t>
            </w:r>
          </w:p>
        </w:tc>
      </w:tr>
      <w:tr w:rsidR="00406979" w:rsidRPr="00406979" w:rsidTr="00406979">
        <w:trPr>
          <w:trHeight w:val="792"/>
          <w:jc w:val="center"/>
        </w:trPr>
        <w:tc>
          <w:tcPr>
            <w:tcW w:w="2970" w:type="dxa"/>
            <w:tcBorders>
              <w:top w:val="single" w:sz="6" w:space="0" w:color="auto"/>
              <w:left w:val="thinThickSmallGap" w:sz="24" w:space="0" w:color="auto"/>
              <w:bottom w:val="single" w:sz="6" w:space="0" w:color="auto"/>
              <w:right w:val="single" w:sz="6" w:space="0" w:color="auto"/>
            </w:tcBorders>
            <w:shd w:val="clear" w:color="auto" w:fill="FABF8F" w:themeFill="accent6" w:themeFillTint="99"/>
            <w:vAlign w:val="center"/>
            <w:hideMark/>
          </w:tcPr>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TC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44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180.27 ± 24.52</w:t>
            </w:r>
          </w:p>
        </w:tc>
        <w:tc>
          <w:tcPr>
            <w:tcW w:w="244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162.73 ± 24.34</w:t>
            </w:r>
          </w:p>
        </w:tc>
        <w:tc>
          <w:tcPr>
            <w:tcW w:w="1035" w:type="dxa"/>
            <w:tcBorders>
              <w:top w:val="single" w:sz="6" w:space="0" w:color="auto"/>
              <w:left w:val="single" w:sz="6" w:space="0" w:color="auto"/>
              <w:bottom w:val="single" w:sz="6" w:space="0" w:color="auto"/>
              <w:right w:val="single" w:sz="6"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2.27</w:t>
            </w:r>
          </w:p>
        </w:tc>
        <w:tc>
          <w:tcPr>
            <w:tcW w:w="1035" w:type="dxa"/>
            <w:tcBorders>
              <w:top w:val="single" w:sz="6" w:space="0" w:color="auto"/>
              <w:left w:val="single" w:sz="6" w:space="0" w:color="auto"/>
              <w:bottom w:val="single" w:sz="6" w:space="0" w:color="auto"/>
              <w:right w:val="thickThinSmallGap" w:sz="2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.029</w:t>
            </w:r>
          </w:p>
        </w:tc>
      </w:tr>
      <w:tr w:rsidR="00406979" w:rsidRPr="00406979" w:rsidTr="00406979">
        <w:trPr>
          <w:trHeight w:val="792"/>
          <w:jc w:val="center"/>
        </w:trPr>
        <w:tc>
          <w:tcPr>
            <w:tcW w:w="2970" w:type="dxa"/>
            <w:tcBorders>
              <w:top w:val="single" w:sz="6" w:space="0" w:color="auto"/>
              <w:left w:val="thinThickSmallGap" w:sz="24" w:space="0" w:color="auto"/>
              <w:bottom w:val="single" w:sz="6" w:space="0" w:color="auto"/>
              <w:right w:val="single" w:sz="6" w:space="0" w:color="auto"/>
            </w:tcBorders>
            <w:shd w:val="clear" w:color="auto" w:fill="FABF8F" w:themeFill="accent6" w:themeFillTint="99"/>
            <w:vAlign w:val="center"/>
            <w:hideMark/>
          </w:tcPr>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TG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44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148.79 ± 33.89</w:t>
            </w:r>
          </w:p>
        </w:tc>
        <w:tc>
          <w:tcPr>
            <w:tcW w:w="244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109.53± 28.37</w:t>
            </w:r>
          </w:p>
        </w:tc>
        <w:tc>
          <w:tcPr>
            <w:tcW w:w="1035" w:type="dxa"/>
            <w:tcBorders>
              <w:top w:val="single" w:sz="6" w:space="0" w:color="auto"/>
              <w:left w:val="single" w:sz="6" w:space="0" w:color="auto"/>
              <w:bottom w:val="single" w:sz="6" w:space="0" w:color="auto"/>
              <w:right w:val="single" w:sz="6"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3.97</w:t>
            </w:r>
          </w:p>
        </w:tc>
        <w:tc>
          <w:tcPr>
            <w:tcW w:w="1035" w:type="dxa"/>
            <w:tcBorders>
              <w:top w:val="single" w:sz="6" w:space="0" w:color="auto"/>
              <w:left w:val="single" w:sz="6" w:space="0" w:color="auto"/>
              <w:bottom w:val="single" w:sz="6" w:space="0" w:color="auto"/>
              <w:right w:val="thickThinSmallGap" w:sz="2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.001</w:t>
            </w:r>
          </w:p>
        </w:tc>
      </w:tr>
      <w:tr w:rsidR="00406979" w:rsidRPr="00406979" w:rsidTr="00406979">
        <w:trPr>
          <w:trHeight w:val="792"/>
          <w:jc w:val="center"/>
        </w:trPr>
        <w:tc>
          <w:tcPr>
            <w:tcW w:w="2970" w:type="dxa"/>
            <w:tcBorders>
              <w:top w:val="single" w:sz="6" w:space="0" w:color="auto"/>
              <w:left w:val="thinThickSmallGap" w:sz="24" w:space="0" w:color="auto"/>
              <w:bottom w:val="single" w:sz="6" w:space="0" w:color="auto"/>
              <w:right w:val="single" w:sz="6" w:space="0" w:color="auto"/>
            </w:tcBorders>
            <w:shd w:val="clear" w:color="auto" w:fill="FABF8F" w:themeFill="accent6" w:themeFillTint="99"/>
            <w:vAlign w:val="center"/>
            <w:hideMark/>
          </w:tcPr>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LDL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44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132.86 ± 21.98</w:t>
            </w:r>
          </w:p>
        </w:tc>
        <w:tc>
          <w:tcPr>
            <w:tcW w:w="244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98.61 ± 20.61</w:t>
            </w:r>
          </w:p>
        </w:tc>
        <w:tc>
          <w:tcPr>
            <w:tcW w:w="1035" w:type="dxa"/>
            <w:tcBorders>
              <w:top w:val="single" w:sz="6" w:space="0" w:color="auto"/>
              <w:left w:val="single" w:sz="6" w:space="0" w:color="auto"/>
              <w:bottom w:val="single" w:sz="6" w:space="0" w:color="auto"/>
              <w:right w:val="single" w:sz="6"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5.1</w:t>
            </w:r>
          </w:p>
        </w:tc>
        <w:tc>
          <w:tcPr>
            <w:tcW w:w="1035" w:type="dxa"/>
            <w:tcBorders>
              <w:top w:val="single" w:sz="6" w:space="0" w:color="auto"/>
              <w:left w:val="single" w:sz="6" w:space="0" w:color="auto"/>
              <w:bottom w:val="single" w:sz="6" w:space="0" w:color="auto"/>
              <w:right w:val="thickThinSmallGap" w:sz="2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&lt;0.001</w:t>
            </w:r>
          </w:p>
        </w:tc>
      </w:tr>
      <w:tr w:rsidR="00406979" w:rsidRPr="00406979" w:rsidTr="00406979">
        <w:trPr>
          <w:trHeight w:val="792"/>
          <w:jc w:val="center"/>
        </w:trPr>
        <w:tc>
          <w:tcPr>
            <w:tcW w:w="2970" w:type="dxa"/>
            <w:tcBorders>
              <w:top w:val="single" w:sz="6" w:space="0" w:color="auto"/>
              <w:left w:val="thinThickSmallGap" w:sz="24" w:space="0" w:color="auto"/>
              <w:bottom w:val="single" w:sz="6" w:space="0" w:color="auto"/>
              <w:right w:val="single" w:sz="6" w:space="0" w:color="auto"/>
            </w:tcBorders>
            <w:shd w:val="clear" w:color="auto" w:fill="FABF8F" w:themeFill="accent6" w:themeFillTint="99"/>
            <w:vAlign w:val="center"/>
            <w:hideMark/>
          </w:tcPr>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HDL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44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45.77 ± 5.07</w:t>
            </w:r>
          </w:p>
        </w:tc>
        <w:tc>
          <w:tcPr>
            <w:tcW w:w="244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49.74 ± 3.71</w:t>
            </w:r>
          </w:p>
        </w:tc>
        <w:tc>
          <w:tcPr>
            <w:tcW w:w="1035" w:type="dxa"/>
            <w:tcBorders>
              <w:top w:val="single" w:sz="6" w:space="0" w:color="auto"/>
              <w:left w:val="single" w:sz="6" w:space="0" w:color="auto"/>
              <w:bottom w:val="single" w:sz="6" w:space="0" w:color="auto"/>
              <w:right w:val="single" w:sz="6"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2.83</w:t>
            </w:r>
          </w:p>
        </w:tc>
        <w:tc>
          <w:tcPr>
            <w:tcW w:w="1035" w:type="dxa"/>
            <w:tcBorders>
              <w:top w:val="single" w:sz="6" w:space="0" w:color="auto"/>
              <w:left w:val="single" w:sz="6" w:space="0" w:color="auto"/>
              <w:bottom w:val="single" w:sz="6" w:space="0" w:color="auto"/>
              <w:right w:val="thickThinSmallGap" w:sz="2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.007</w:t>
            </w:r>
          </w:p>
        </w:tc>
      </w:tr>
      <w:tr w:rsidR="00406979" w:rsidRPr="00406979" w:rsidTr="00406979">
        <w:trPr>
          <w:trHeight w:val="792"/>
          <w:jc w:val="center"/>
        </w:trPr>
        <w:tc>
          <w:tcPr>
            <w:tcW w:w="2970" w:type="dxa"/>
            <w:tcBorders>
              <w:top w:val="single" w:sz="6" w:space="0" w:color="auto"/>
              <w:left w:val="thinThickSmallGap" w:sz="24" w:space="0" w:color="auto"/>
              <w:bottom w:val="single" w:sz="6" w:space="0" w:color="auto"/>
              <w:right w:val="single" w:sz="6" w:space="0" w:color="auto"/>
            </w:tcBorders>
            <w:shd w:val="clear" w:color="auto" w:fill="FABF8F" w:themeFill="accent6" w:themeFillTint="99"/>
            <w:vAlign w:val="center"/>
          </w:tcPr>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FBS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448" w:type="dxa"/>
            <w:tcBorders>
              <w:top w:val="single" w:sz="4" w:space="0" w:color="auto"/>
              <w:left w:val="single" w:sz="6" w:space="0" w:color="auto"/>
              <w:bottom w:val="single" w:sz="4" w:space="0" w:color="auto"/>
              <w:right w:val="single" w:sz="6"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102.34 ± 11.21</w:t>
            </w:r>
          </w:p>
        </w:tc>
        <w:tc>
          <w:tcPr>
            <w:tcW w:w="2448" w:type="dxa"/>
            <w:tcBorders>
              <w:top w:val="single" w:sz="4" w:space="0" w:color="auto"/>
              <w:left w:val="single" w:sz="6" w:space="0" w:color="auto"/>
              <w:bottom w:val="single" w:sz="4" w:space="0" w:color="auto"/>
              <w:right w:val="single" w:sz="6"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86.22 ± 9.84</w:t>
            </w:r>
          </w:p>
        </w:tc>
        <w:tc>
          <w:tcPr>
            <w:tcW w:w="1035" w:type="dxa"/>
            <w:tcBorders>
              <w:top w:val="single" w:sz="6" w:space="0" w:color="auto"/>
              <w:left w:val="single" w:sz="6" w:space="0" w:color="auto"/>
              <w:bottom w:val="single" w:sz="6" w:space="0" w:color="auto"/>
              <w:right w:val="single" w:sz="6"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4.83</w:t>
            </w:r>
          </w:p>
        </w:tc>
        <w:tc>
          <w:tcPr>
            <w:tcW w:w="1035" w:type="dxa"/>
            <w:tcBorders>
              <w:top w:val="single" w:sz="6" w:space="0" w:color="auto"/>
              <w:left w:val="single" w:sz="6" w:space="0" w:color="auto"/>
              <w:bottom w:val="single" w:sz="6" w:space="0" w:color="auto"/>
              <w:right w:val="thickThinSmallGap" w:sz="2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&lt;0.001</w:t>
            </w:r>
          </w:p>
        </w:tc>
      </w:tr>
      <w:tr w:rsidR="00406979" w:rsidRPr="00406979" w:rsidTr="00406979">
        <w:trPr>
          <w:trHeight w:val="792"/>
          <w:jc w:val="center"/>
        </w:trPr>
        <w:tc>
          <w:tcPr>
            <w:tcW w:w="2970" w:type="dxa"/>
            <w:tcBorders>
              <w:top w:val="single" w:sz="6" w:space="0" w:color="auto"/>
              <w:left w:val="thinThickSmallGap" w:sz="24" w:space="0" w:color="auto"/>
              <w:bottom w:val="thickThinSmallGap" w:sz="24" w:space="0" w:color="auto"/>
              <w:right w:val="single" w:sz="6" w:space="0" w:color="auto"/>
            </w:tcBorders>
            <w:shd w:val="clear" w:color="auto" w:fill="FABF8F" w:themeFill="accent6" w:themeFillTint="99"/>
            <w:vAlign w:val="center"/>
          </w:tcPr>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HbA1c </w:t>
            </w:r>
            <w:r w:rsidRPr="00406979">
              <w:rPr>
                <w:rFonts w:asciiTheme="majorBidi" w:hAnsiTheme="majorBidi" w:cstheme="majorBidi"/>
                <w:i/>
                <w:iCs/>
                <w:sz w:val="20"/>
                <w:szCs w:val="20"/>
              </w:rPr>
              <w:t>(%)</w:t>
            </w:r>
          </w:p>
          <w:p w:rsidR="00406979" w:rsidRPr="00406979" w:rsidRDefault="00406979" w:rsidP="00406979">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448" w:type="dxa"/>
            <w:tcBorders>
              <w:top w:val="single" w:sz="4" w:space="0" w:color="auto"/>
              <w:left w:val="single" w:sz="6" w:space="0" w:color="auto"/>
              <w:bottom w:val="thickThinSmallGap" w:sz="24" w:space="0" w:color="auto"/>
              <w:right w:val="single" w:sz="6"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6.9 ± 1.32</w:t>
            </w:r>
          </w:p>
        </w:tc>
        <w:tc>
          <w:tcPr>
            <w:tcW w:w="2448" w:type="dxa"/>
            <w:tcBorders>
              <w:top w:val="single" w:sz="4" w:space="0" w:color="auto"/>
              <w:left w:val="single" w:sz="6" w:space="0" w:color="auto"/>
              <w:bottom w:val="thickThinSmallGap" w:sz="24" w:space="0" w:color="auto"/>
              <w:right w:val="single" w:sz="6"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5.82 ± 0.581</w:t>
            </w:r>
          </w:p>
        </w:tc>
        <w:tc>
          <w:tcPr>
            <w:tcW w:w="1035" w:type="dxa"/>
            <w:tcBorders>
              <w:top w:val="single" w:sz="6" w:space="0" w:color="auto"/>
              <w:left w:val="single" w:sz="6" w:space="0" w:color="auto"/>
              <w:bottom w:val="thickThinSmallGap" w:sz="24" w:space="0" w:color="auto"/>
              <w:right w:val="single" w:sz="6"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3.35</w:t>
            </w:r>
          </w:p>
        </w:tc>
        <w:tc>
          <w:tcPr>
            <w:tcW w:w="1035" w:type="dxa"/>
            <w:tcBorders>
              <w:top w:val="single" w:sz="6" w:space="0" w:color="auto"/>
              <w:left w:val="single" w:sz="6" w:space="0" w:color="auto"/>
              <w:bottom w:val="thickThinSmallGap" w:sz="24" w:space="0" w:color="auto"/>
              <w:right w:val="thickThinSmallGap" w:sz="2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.002</w:t>
            </w:r>
          </w:p>
        </w:tc>
      </w:tr>
    </w:tbl>
    <w:p w:rsidR="00406979" w:rsidRPr="00406979" w:rsidRDefault="00406979" w:rsidP="00406979">
      <w:pPr>
        <w:bidi w:val="0"/>
        <w:spacing w:before="100" w:beforeAutospacing="1" w:after="100" w:afterAutospacing="1" w:line="240" w:lineRule="auto"/>
        <w:jc w:val="lowKashida"/>
        <w:rPr>
          <w:rFonts w:asciiTheme="majorBidi" w:hAnsiTheme="majorBidi" w:cstheme="majorBidi"/>
          <w:i/>
          <w:iCs/>
          <w:sz w:val="20"/>
          <w:szCs w:val="20"/>
          <w:lang w:bidi="ar-EG"/>
        </w:rPr>
      </w:pPr>
      <w:r w:rsidRPr="00406979">
        <w:rPr>
          <w:rFonts w:asciiTheme="majorBidi" w:hAnsiTheme="majorBidi" w:cstheme="majorBidi"/>
          <w:i/>
          <w:iCs/>
          <w:sz w:val="20"/>
          <w:szCs w:val="20"/>
          <w:lang w:bidi="ar-EG"/>
        </w:rPr>
        <w:t>This table shows that there is a significant difference between the two studied groups as regard TC, TG, LDL, HDL, FBS, and HbA1c.</w:t>
      </w:r>
    </w:p>
    <w:p w:rsidR="00406979" w:rsidRPr="00406979" w:rsidRDefault="00406979" w:rsidP="00406979">
      <w:pPr>
        <w:bidi w:val="0"/>
        <w:spacing w:before="100" w:beforeAutospacing="1" w:after="100" w:afterAutospacing="1" w:line="240" w:lineRule="auto"/>
        <w:jc w:val="both"/>
        <w:rPr>
          <w:rFonts w:asciiTheme="majorBidi" w:hAnsiTheme="majorBidi" w:cstheme="majorBidi"/>
          <w:i/>
          <w:iCs/>
          <w:sz w:val="20"/>
          <w:szCs w:val="20"/>
        </w:rPr>
      </w:pPr>
      <w:r w:rsidRPr="00406979">
        <w:rPr>
          <w:rFonts w:asciiTheme="majorBidi" w:hAnsiTheme="majorBidi" w:cstheme="majorBidi"/>
          <w:b/>
          <w:bCs/>
          <w:i/>
          <w:iCs/>
          <w:sz w:val="20"/>
          <w:szCs w:val="20"/>
        </w:rPr>
        <w:lastRenderedPageBreak/>
        <w:t xml:space="preserve">Table (6): </w:t>
      </w:r>
      <w:r w:rsidRPr="00406979">
        <w:rPr>
          <w:rFonts w:asciiTheme="majorBidi" w:hAnsiTheme="majorBidi" w:cstheme="majorBidi"/>
          <w:i/>
          <w:iCs/>
          <w:sz w:val="20"/>
          <w:szCs w:val="20"/>
        </w:rPr>
        <w:t>Preoperative and postoperative laboratory parameters among Group I.</w:t>
      </w:r>
    </w:p>
    <w:tbl>
      <w:tblPr>
        <w:tblW w:w="1066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2700"/>
        <w:gridCol w:w="2295"/>
        <w:gridCol w:w="2205"/>
        <w:gridCol w:w="2160"/>
        <w:gridCol w:w="1305"/>
      </w:tblGrid>
      <w:tr w:rsidR="00406979" w:rsidRPr="00406979" w:rsidTr="00406979">
        <w:trPr>
          <w:trHeight w:val="540"/>
          <w:jc w:val="center"/>
        </w:trPr>
        <w:tc>
          <w:tcPr>
            <w:tcW w:w="2700" w:type="dxa"/>
            <w:vMerge w:val="restart"/>
            <w:shd w:val="clear" w:color="auto" w:fill="B2A1C7" w:themeFill="accent4" w:themeFillTint="99"/>
            <w:vAlign w:val="center"/>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i/>
                <w:iCs/>
                <w:sz w:val="20"/>
                <w:szCs w:val="20"/>
              </w:rPr>
            </w:pPr>
          </w:p>
        </w:tc>
        <w:tc>
          <w:tcPr>
            <w:tcW w:w="6660" w:type="dxa"/>
            <w:gridSpan w:val="3"/>
            <w:shd w:val="clear" w:color="auto" w:fill="B2A1C7" w:themeFill="accent4" w:themeFillTint="99"/>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Group I </w:t>
            </w:r>
            <w:r w:rsidRPr="00406979">
              <w:rPr>
                <w:rFonts w:asciiTheme="majorBidi" w:hAnsiTheme="majorBidi" w:cstheme="majorBidi"/>
                <w:i/>
                <w:iCs/>
                <w:sz w:val="20"/>
                <w:szCs w:val="20"/>
              </w:rPr>
              <w:t>(n=20)</w:t>
            </w:r>
          </w:p>
        </w:tc>
        <w:tc>
          <w:tcPr>
            <w:tcW w:w="1305" w:type="dxa"/>
            <w:vMerge w:val="restart"/>
            <w:shd w:val="clear" w:color="auto" w:fill="B2A1C7" w:themeFill="accent4" w:themeFillTint="99"/>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sz w:val="20"/>
                <w:szCs w:val="20"/>
                <w:vertAlign w:val="superscript"/>
              </w:rPr>
            </w:pPr>
            <w:r w:rsidRPr="00406979">
              <w:rPr>
                <w:rFonts w:asciiTheme="majorBidi" w:hAnsiTheme="majorBidi" w:cstheme="majorBidi"/>
                <w:b/>
                <w:bCs/>
                <w:sz w:val="20"/>
                <w:szCs w:val="20"/>
              </w:rPr>
              <w:t>P</w:t>
            </w:r>
            <w:r w:rsidRPr="00406979">
              <w:rPr>
                <w:rFonts w:asciiTheme="majorBidi" w:hAnsiTheme="majorBidi" w:cstheme="majorBidi"/>
                <w:b/>
                <w:bCs/>
                <w:sz w:val="20"/>
                <w:szCs w:val="20"/>
                <w:vertAlign w:val="superscript"/>
              </w:rPr>
              <w:t>#</w:t>
            </w:r>
          </w:p>
        </w:tc>
      </w:tr>
      <w:tr w:rsidR="00406979" w:rsidRPr="00406979" w:rsidTr="00406979">
        <w:trPr>
          <w:trHeight w:val="540"/>
          <w:jc w:val="center"/>
        </w:trPr>
        <w:tc>
          <w:tcPr>
            <w:tcW w:w="2700" w:type="dxa"/>
            <w:vMerge/>
            <w:vAlign w:val="center"/>
            <w:hideMark/>
          </w:tcPr>
          <w:p w:rsidR="00406979" w:rsidRPr="00406979" w:rsidRDefault="00406979" w:rsidP="00E47047">
            <w:pPr>
              <w:bidi w:val="0"/>
              <w:spacing w:after="0" w:line="240" w:lineRule="auto"/>
              <w:rPr>
                <w:rFonts w:asciiTheme="majorBidi" w:hAnsiTheme="majorBidi" w:cstheme="majorBidi"/>
                <w:b/>
                <w:bCs/>
                <w:i/>
                <w:iCs/>
                <w:sz w:val="20"/>
                <w:szCs w:val="20"/>
              </w:rPr>
            </w:pPr>
          </w:p>
        </w:tc>
        <w:tc>
          <w:tcPr>
            <w:tcW w:w="2295" w:type="dxa"/>
            <w:shd w:val="clear" w:color="auto" w:fill="B2A1C7" w:themeFill="accent4" w:themeFillTint="99"/>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i/>
                <w:iCs/>
                <w:sz w:val="20"/>
                <w:szCs w:val="20"/>
              </w:rPr>
            </w:pPr>
            <w:r w:rsidRPr="00406979">
              <w:rPr>
                <w:rFonts w:asciiTheme="majorBidi" w:hAnsiTheme="majorBidi" w:cstheme="majorBidi"/>
                <w:i/>
                <w:iCs/>
                <w:sz w:val="20"/>
                <w:szCs w:val="20"/>
              </w:rPr>
              <w:t>Preoperative</w:t>
            </w:r>
          </w:p>
        </w:tc>
        <w:tc>
          <w:tcPr>
            <w:tcW w:w="2205" w:type="dxa"/>
            <w:shd w:val="clear" w:color="auto" w:fill="B2A1C7" w:themeFill="accent4" w:themeFillTint="99"/>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i/>
                <w:iCs/>
                <w:sz w:val="20"/>
                <w:szCs w:val="20"/>
              </w:rPr>
            </w:pPr>
            <w:r w:rsidRPr="00406979">
              <w:rPr>
                <w:rFonts w:asciiTheme="majorBidi" w:hAnsiTheme="majorBidi" w:cstheme="majorBidi"/>
                <w:i/>
                <w:iCs/>
                <w:sz w:val="20"/>
                <w:szCs w:val="20"/>
              </w:rPr>
              <w:t>6m postop.</w:t>
            </w:r>
          </w:p>
        </w:tc>
        <w:tc>
          <w:tcPr>
            <w:tcW w:w="2160" w:type="dxa"/>
            <w:shd w:val="clear" w:color="auto" w:fill="B2A1C7" w:themeFill="accent4" w:themeFillTint="99"/>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i/>
                <w:iCs/>
                <w:sz w:val="20"/>
                <w:szCs w:val="20"/>
              </w:rPr>
            </w:pPr>
            <w:r w:rsidRPr="00406979">
              <w:rPr>
                <w:rFonts w:asciiTheme="majorBidi" w:hAnsiTheme="majorBidi" w:cstheme="majorBidi"/>
                <w:i/>
                <w:iCs/>
                <w:sz w:val="20"/>
                <w:szCs w:val="20"/>
              </w:rPr>
              <w:t>12m postop.</w:t>
            </w:r>
          </w:p>
        </w:tc>
        <w:tc>
          <w:tcPr>
            <w:tcW w:w="1305" w:type="dxa"/>
            <w:vMerge/>
            <w:vAlign w:val="center"/>
            <w:hideMark/>
          </w:tcPr>
          <w:p w:rsidR="00406979" w:rsidRPr="00406979" w:rsidRDefault="00406979" w:rsidP="00E47047">
            <w:pPr>
              <w:bidi w:val="0"/>
              <w:spacing w:after="0" w:line="240" w:lineRule="auto"/>
              <w:rPr>
                <w:rFonts w:asciiTheme="majorBidi" w:hAnsiTheme="majorBidi" w:cstheme="majorBidi"/>
                <w:b/>
                <w:bCs/>
                <w:sz w:val="20"/>
                <w:szCs w:val="20"/>
                <w:vertAlign w:val="superscript"/>
              </w:rPr>
            </w:pPr>
          </w:p>
        </w:tc>
      </w:tr>
      <w:tr w:rsidR="00406979" w:rsidRPr="00406979" w:rsidTr="00E47047">
        <w:trPr>
          <w:trHeight w:val="354"/>
          <w:jc w:val="center"/>
        </w:trPr>
        <w:tc>
          <w:tcPr>
            <w:tcW w:w="2700" w:type="dxa"/>
            <w:shd w:val="clear" w:color="auto" w:fill="FABF8F" w:themeFill="accent6" w:themeFillTint="99"/>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TC </w:t>
            </w:r>
            <w:r w:rsidRPr="00406979">
              <w:rPr>
                <w:rFonts w:asciiTheme="majorBidi" w:hAnsiTheme="majorBidi" w:cstheme="majorBidi"/>
                <w:i/>
                <w:iCs/>
                <w:sz w:val="20"/>
                <w:szCs w:val="20"/>
              </w:rPr>
              <w:t>(mg/dl)</w:t>
            </w:r>
          </w:p>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95" w:type="dxa"/>
            <w:shd w:val="clear" w:color="auto" w:fill="FFFFFF"/>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sz w:val="20"/>
                <w:szCs w:val="20"/>
              </w:rPr>
            </w:pPr>
            <w:r w:rsidRPr="00406979">
              <w:rPr>
                <w:rFonts w:asciiTheme="majorBidi" w:hAnsiTheme="majorBidi" w:cstheme="majorBidi"/>
                <w:sz w:val="20"/>
                <w:szCs w:val="20"/>
              </w:rPr>
              <w:t>211.47 ± 36.32</w:t>
            </w:r>
          </w:p>
        </w:tc>
        <w:tc>
          <w:tcPr>
            <w:tcW w:w="2205" w:type="dxa"/>
            <w:shd w:val="clear" w:color="auto" w:fill="FFFFFF"/>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sz w:val="20"/>
                <w:szCs w:val="20"/>
              </w:rPr>
            </w:pPr>
            <w:r w:rsidRPr="00406979">
              <w:rPr>
                <w:rFonts w:asciiTheme="majorBidi" w:hAnsiTheme="majorBidi" w:cstheme="majorBidi"/>
                <w:sz w:val="20"/>
                <w:szCs w:val="20"/>
              </w:rPr>
              <w:t>193.24 ± 29.19</w:t>
            </w:r>
          </w:p>
        </w:tc>
        <w:tc>
          <w:tcPr>
            <w:tcW w:w="2160" w:type="dxa"/>
            <w:shd w:val="clear" w:color="auto" w:fill="FFFFFF"/>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sz w:val="20"/>
                <w:szCs w:val="20"/>
              </w:rPr>
            </w:pPr>
            <w:r w:rsidRPr="00406979">
              <w:rPr>
                <w:rFonts w:asciiTheme="majorBidi" w:hAnsiTheme="majorBidi" w:cstheme="majorBidi"/>
                <w:sz w:val="20"/>
                <w:szCs w:val="20"/>
              </w:rPr>
              <w:t>180.27 ± 24.52</w:t>
            </w:r>
          </w:p>
        </w:tc>
        <w:tc>
          <w:tcPr>
            <w:tcW w:w="1305" w:type="dxa"/>
            <w:shd w:val="clear" w:color="auto" w:fill="FFFFFF"/>
            <w:vAlign w:val="center"/>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&lt;0.001</w:t>
            </w:r>
          </w:p>
        </w:tc>
      </w:tr>
      <w:tr w:rsidR="00406979" w:rsidRPr="00406979" w:rsidTr="00E47047">
        <w:trPr>
          <w:trHeight w:val="165"/>
          <w:jc w:val="center"/>
        </w:trPr>
        <w:tc>
          <w:tcPr>
            <w:tcW w:w="2700" w:type="dxa"/>
            <w:shd w:val="clear" w:color="auto" w:fill="FABF8F" w:themeFill="accent6" w:themeFillTint="99"/>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TG </w:t>
            </w:r>
            <w:r w:rsidRPr="00406979">
              <w:rPr>
                <w:rFonts w:asciiTheme="majorBidi" w:hAnsiTheme="majorBidi" w:cstheme="majorBidi"/>
                <w:i/>
                <w:iCs/>
                <w:sz w:val="20"/>
                <w:szCs w:val="20"/>
              </w:rPr>
              <w:t>(mg/dl)</w:t>
            </w:r>
          </w:p>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95" w:type="dxa"/>
            <w:shd w:val="clear" w:color="auto" w:fill="FFFFFF"/>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sz w:val="20"/>
                <w:szCs w:val="20"/>
              </w:rPr>
            </w:pPr>
            <w:r w:rsidRPr="00406979">
              <w:rPr>
                <w:rFonts w:asciiTheme="majorBidi" w:hAnsiTheme="majorBidi" w:cstheme="majorBidi"/>
                <w:sz w:val="20"/>
                <w:szCs w:val="20"/>
              </w:rPr>
              <w:t>184.56 ± 71.56</w:t>
            </w:r>
          </w:p>
        </w:tc>
        <w:tc>
          <w:tcPr>
            <w:tcW w:w="2205" w:type="dxa"/>
            <w:shd w:val="clear" w:color="auto" w:fill="FFFFFF"/>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sz w:val="20"/>
                <w:szCs w:val="20"/>
              </w:rPr>
            </w:pPr>
            <w:r w:rsidRPr="00406979">
              <w:rPr>
                <w:rFonts w:asciiTheme="majorBidi" w:hAnsiTheme="majorBidi" w:cstheme="majorBidi"/>
                <w:sz w:val="20"/>
                <w:szCs w:val="20"/>
              </w:rPr>
              <w:t>169.06 ± 44.09</w:t>
            </w:r>
          </w:p>
        </w:tc>
        <w:tc>
          <w:tcPr>
            <w:tcW w:w="2160" w:type="dxa"/>
            <w:shd w:val="clear" w:color="auto" w:fill="FFFFFF"/>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sz w:val="20"/>
                <w:szCs w:val="20"/>
              </w:rPr>
            </w:pPr>
            <w:r w:rsidRPr="00406979">
              <w:rPr>
                <w:rFonts w:asciiTheme="majorBidi" w:hAnsiTheme="majorBidi" w:cstheme="majorBidi"/>
                <w:sz w:val="20"/>
                <w:szCs w:val="20"/>
              </w:rPr>
              <w:t>148.79 ± 33.89</w:t>
            </w:r>
          </w:p>
        </w:tc>
        <w:tc>
          <w:tcPr>
            <w:tcW w:w="1305" w:type="dxa"/>
            <w:shd w:val="clear" w:color="auto" w:fill="FFFFFF"/>
            <w:vAlign w:val="center"/>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&lt;0.001</w:t>
            </w:r>
          </w:p>
        </w:tc>
      </w:tr>
      <w:tr w:rsidR="00406979" w:rsidRPr="00406979" w:rsidTr="00E47047">
        <w:trPr>
          <w:trHeight w:val="219"/>
          <w:jc w:val="center"/>
        </w:trPr>
        <w:tc>
          <w:tcPr>
            <w:tcW w:w="2700" w:type="dxa"/>
            <w:shd w:val="clear" w:color="auto" w:fill="FABF8F" w:themeFill="accent6" w:themeFillTint="99"/>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LDL </w:t>
            </w:r>
            <w:r w:rsidRPr="00406979">
              <w:rPr>
                <w:rFonts w:asciiTheme="majorBidi" w:hAnsiTheme="majorBidi" w:cstheme="majorBidi"/>
                <w:i/>
                <w:iCs/>
                <w:sz w:val="20"/>
                <w:szCs w:val="20"/>
              </w:rPr>
              <w:t>(mg/dl)</w:t>
            </w:r>
          </w:p>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95" w:type="dxa"/>
            <w:shd w:val="clear" w:color="auto" w:fill="FFFFFF"/>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sz w:val="20"/>
                <w:szCs w:val="20"/>
              </w:rPr>
            </w:pPr>
            <w:r w:rsidRPr="00406979">
              <w:rPr>
                <w:rFonts w:asciiTheme="majorBidi" w:hAnsiTheme="majorBidi" w:cstheme="majorBidi"/>
                <w:sz w:val="20"/>
                <w:szCs w:val="20"/>
              </w:rPr>
              <w:t>165.17 ± 27.42</w:t>
            </w:r>
          </w:p>
        </w:tc>
        <w:tc>
          <w:tcPr>
            <w:tcW w:w="2205" w:type="dxa"/>
            <w:shd w:val="clear" w:color="auto" w:fill="FFFFFF"/>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sz w:val="20"/>
                <w:szCs w:val="20"/>
              </w:rPr>
            </w:pPr>
            <w:r w:rsidRPr="00406979">
              <w:rPr>
                <w:rFonts w:asciiTheme="majorBidi" w:hAnsiTheme="majorBidi" w:cstheme="majorBidi"/>
                <w:sz w:val="20"/>
                <w:szCs w:val="20"/>
              </w:rPr>
              <w:t>147.94 ± 22.83</w:t>
            </w:r>
          </w:p>
        </w:tc>
        <w:tc>
          <w:tcPr>
            <w:tcW w:w="2160" w:type="dxa"/>
            <w:shd w:val="clear" w:color="auto" w:fill="FFFFFF"/>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sz w:val="20"/>
                <w:szCs w:val="20"/>
              </w:rPr>
            </w:pPr>
            <w:r w:rsidRPr="00406979">
              <w:rPr>
                <w:rFonts w:asciiTheme="majorBidi" w:hAnsiTheme="majorBidi" w:cstheme="majorBidi"/>
                <w:sz w:val="20"/>
                <w:szCs w:val="20"/>
              </w:rPr>
              <w:t>132.86 ± 21.98</w:t>
            </w:r>
          </w:p>
        </w:tc>
        <w:tc>
          <w:tcPr>
            <w:tcW w:w="1305" w:type="dxa"/>
            <w:shd w:val="clear" w:color="auto" w:fill="FFFFFF"/>
            <w:vAlign w:val="center"/>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&lt;0.001</w:t>
            </w:r>
          </w:p>
        </w:tc>
      </w:tr>
      <w:tr w:rsidR="00406979" w:rsidRPr="00406979" w:rsidTr="00E47047">
        <w:trPr>
          <w:trHeight w:val="201"/>
          <w:jc w:val="center"/>
        </w:trPr>
        <w:tc>
          <w:tcPr>
            <w:tcW w:w="2700" w:type="dxa"/>
            <w:shd w:val="clear" w:color="auto" w:fill="FABF8F" w:themeFill="accent6" w:themeFillTint="99"/>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HDL </w:t>
            </w:r>
            <w:r w:rsidRPr="00406979">
              <w:rPr>
                <w:rFonts w:asciiTheme="majorBidi" w:hAnsiTheme="majorBidi" w:cstheme="majorBidi"/>
                <w:i/>
                <w:iCs/>
                <w:sz w:val="20"/>
                <w:szCs w:val="20"/>
              </w:rPr>
              <w:t>(mg/dl)</w:t>
            </w:r>
          </w:p>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95" w:type="dxa"/>
            <w:shd w:val="clear" w:color="auto" w:fill="FFFFFF"/>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sz w:val="20"/>
                <w:szCs w:val="20"/>
              </w:rPr>
            </w:pPr>
            <w:r w:rsidRPr="00406979">
              <w:rPr>
                <w:rFonts w:asciiTheme="majorBidi" w:hAnsiTheme="majorBidi" w:cstheme="majorBidi"/>
                <w:sz w:val="20"/>
                <w:szCs w:val="20"/>
              </w:rPr>
              <w:t>42.35 ± 10.5</w:t>
            </w:r>
          </w:p>
        </w:tc>
        <w:tc>
          <w:tcPr>
            <w:tcW w:w="2205" w:type="dxa"/>
            <w:shd w:val="clear" w:color="auto" w:fill="FFFFFF"/>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sz w:val="20"/>
                <w:szCs w:val="20"/>
              </w:rPr>
            </w:pPr>
            <w:r w:rsidRPr="00406979">
              <w:rPr>
                <w:rFonts w:asciiTheme="majorBidi" w:hAnsiTheme="majorBidi" w:cstheme="majorBidi"/>
                <w:sz w:val="20"/>
                <w:szCs w:val="20"/>
              </w:rPr>
              <w:t>45.25 ± 8.04</w:t>
            </w:r>
          </w:p>
        </w:tc>
        <w:tc>
          <w:tcPr>
            <w:tcW w:w="2160" w:type="dxa"/>
            <w:shd w:val="clear" w:color="auto" w:fill="FFFFFF"/>
            <w:vAlign w:val="center"/>
            <w:hideMark/>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sz w:val="20"/>
                <w:szCs w:val="20"/>
              </w:rPr>
            </w:pPr>
            <w:r w:rsidRPr="00406979">
              <w:rPr>
                <w:rFonts w:asciiTheme="majorBidi" w:hAnsiTheme="majorBidi" w:cstheme="majorBidi"/>
                <w:sz w:val="20"/>
                <w:szCs w:val="20"/>
              </w:rPr>
              <w:t>45.77 ± 5.07</w:t>
            </w:r>
          </w:p>
        </w:tc>
        <w:tc>
          <w:tcPr>
            <w:tcW w:w="1305" w:type="dxa"/>
            <w:shd w:val="clear" w:color="auto" w:fill="FFFFFF"/>
            <w:vAlign w:val="center"/>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sz w:val="20"/>
                <w:szCs w:val="20"/>
              </w:rPr>
            </w:pPr>
            <w:r w:rsidRPr="00406979">
              <w:rPr>
                <w:rFonts w:asciiTheme="majorBidi" w:hAnsiTheme="majorBidi" w:cstheme="majorBidi"/>
                <w:sz w:val="20"/>
                <w:szCs w:val="20"/>
              </w:rPr>
              <w:t>.369</w:t>
            </w:r>
          </w:p>
        </w:tc>
      </w:tr>
      <w:tr w:rsidR="00406979" w:rsidRPr="00406979" w:rsidTr="00E47047">
        <w:trPr>
          <w:trHeight w:val="264"/>
          <w:jc w:val="center"/>
        </w:trPr>
        <w:tc>
          <w:tcPr>
            <w:tcW w:w="2700" w:type="dxa"/>
            <w:shd w:val="clear" w:color="auto" w:fill="FABF8F" w:themeFill="accent6" w:themeFillTint="99"/>
            <w:vAlign w:val="center"/>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FBS </w:t>
            </w:r>
            <w:r w:rsidRPr="00406979">
              <w:rPr>
                <w:rFonts w:asciiTheme="majorBidi" w:hAnsiTheme="majorBidi" w:cstheme="majorBidi"/>
                <w:i/>
                <w:iCs/>
                <w:sz w:val="20"/>
                <w:szCs w:val="20"/>
              </w:rPr>
              <w:t>(mg/dl)</w:t>
            </w:r>
          </w:p>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95" w:type="dxa"/>
            <w:shd w:val="clear" w:color="auto" w:fill="FFFFFF"/>
            <w:vAlign w:val="center"/>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sz w:val="20"/>
                <w:szCs w:val="20"/>
              </w:rPr>
            </w:pPr>
            <w:r w:rsidRPr="00406979">
              <w:rPr>
                <w:rFonts w:asciiTheme="majorBidi" w:hAnsiTheme="majorBidi" w:cstheme="majorBidi"/>
                <w:sz w:val="20"/>
                <w:szCs w:val="20"/>
              </w:rPr>
              <w:t>168.94 ± 56.22</w:t>
            </w:r>
          </w:p>
        </w:tc>
        <w:tc>
          <w:tcPr>
            <w:tcW w:w="2205" w:type="dxa"/>
            <w:shd w:val="clear" w:color="auto" w:fill="FFFFFF"/>
            <w:vAlign w:val="center"/>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sz w:val="20"/>
                <w:szCs w:val="20"/>
              </w:rPr>
            </w:pPr>
            <w:r w:rsidRPr="00406979">
              <w:rPr>
                <w:rFonts w:asciiTheme="majorBidi" w:hAnsiTheme="majorBidi" w:cstheme="majorBidi"/>
                <w:sz w:val="20"/>
                <w:szCs w:val="20"/>
              </w:rPr>
              <w:t>121.44 ± 12.39</w:t>
            </w:r>
          </w:p>
        </w:tc>
        <w:tc>
          <w:tcPr>
            <w:tcW w:w="2160" w:type="dxa"/>
            <w:shd w:val="clear" w:color="auto" w:fill="FFFFFF"/>
            <w:vAlign w:val="center"/>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sz w:val="20"/>
                <w:szCs w:val="20"/>
              </w:rPr>
            </w:pPr>
            <w:r w:rsidRPr="00406979">
              <w:rPr>
                <w:rFonts w:asciiTheme="majorBidi" w:hAnsiTheme="majorBidi" w:cstheme="majorBidi"/>
                <w:sz w:val="20"/>
                <w:szCs w:val="20"/>
              </w:rPr>
              <w:t>102.34 ± 11.21</w:t>
            </w:r>
          </w:p>
        </w:tc>
        <w:tc>
          <w:tcPr>
            <w:tcW w:w="1305" w:type="dxa"/>
            <w:shd w:val="clear" w:color="auto" w:fill="FFFFFF"/>
            <w:vAlign w:val="center"/>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&lt;0.001</w:t>
            </w:r>
          </w:p>
        </w:tc>
      </w:tr>
      <w:tr w:rsidR="00406979" w:rsidRPr="00406979" w:rsidTr="00E47047">
        <w:trPr>
          <w:trHeight w:val="91"/>
          <w:jc w:val="center"/>
        </w:trPr>
        <w:tc>
          <w:tcPr>
            <w:tcW w:w="2700" w:type="dxa"/>
            <w:shd w:val="clear" w:color="auto" w:fill="FABF8F" w:themeFill="accent6" w:themeFillTint="99"/>
            <w:vAlign w:val="center"/>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HbA1c </w:t>
            </w:r>
            <w:r w:rsidRPr="00406979">
              <w:rPr>
                <w:rFonts w:asciiTheme="majorBidi" w:hAnsiTheme="majorBidi" w:cstheme="majorBidi"/>
                <w:i/>
                <w:iCs/>
                <w:sz w:val="20"/>
                <w:szCs w:val="20"/>
              </w:rPr>
              <w:t>(%)</w:t>
            </w:r>
          </w:p>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295" w:type="dxa"/>
            <w:shd w:val="clear" w:color="auto" w:fill="FFFFFF"/>
            <w:vAlign w:val="center"/>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sz w:val="20"/>
                <w:szCs w:val="20"/>
              </w:rPr>
            </w:pPr>
            <w:r w:rsidRPr="00406979">
              <w:rPr>
                <w:rFonts w:asciiTheme="majorBidi" w:hAnsiTheme="majorBidi" w:cstheme="majorBidi"/>
                <w:sz w:val="20"/>
                <w:szCs w:val="20"/>
              </w:rPr>
              <w:t>9.54 ± 2.11</w:t>
            </w:r>
          </w:p>
        </w:tc>
        <w:tc>
          <w:tcPr>
            <w:tcW w:w="2205" w:type="dxa"/>
            <w:shd w:val="clear" w:color="auto" w:fill="FFFFFF"/>
            <w:vAlign w:val="center"/>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sz w:val="20"/>
                <w:szCs w:val="20"/>
              </w:rPr>
            </w:pPr>
            <w:r w:rsidRPr="00406979">
              <w:rPr>
                <w:rFonts w:asciiTheme="majorBidi" w:hAnsiTheme="majorBidi" w:cstheme="majorBidi"/>
                <w:sz w:val="20"/>
                <w:szCs w:val="20"/>
              </w:rPr>
              <w:t>8.1 ± 1.67</w:t>
            </w:r>
          </w:p>
        </w:tc>
        <w:tc>
          <w:tcPr>
            <w:tcW w:w="2160" w:type="dxa"/>
            <w:shd w:val="clear" w:color="auto" w:fill="FFFFFF"/>
            <w:vAlign w:val="center"/>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sz w:val="20"/>
                <w:szCs w:val="20"/>
              </w:rPr>
            </w:pPr>
            <w:r w:rsidRPr="00406979">
              <w:rPr>
                <w:rFonts w:asciiTheme="majorBidi" w:hAnsiTheme="majorBidi" w:cstheme="majorBidi"/>
                <w:sz w:val="20"/>
                <w:szCs w:val="20"/>
              </w:rPr>
              <w:t>6.9 ± 1.32</w:t>
            </w:r>
          </w:p>
        </w:tc>
        <w:tc>
          <w:tcPr>
            <w:tcW w:w="1305" w:type="dxa"/>
            <w:shd w:val="clear" w:color="auto" w:fill="FFFFFF"/>
            <w:vAlign w:val="center"/>
          </w:tcPr>
          <w:p w:rsidR="00406979" w:rsidRPr="00406979" w:rsidRDefault="00406979" w:rsidP="00E47047">
            <w:pPr>
              <w:autoSpaceDE w:val="0"/>
              <w:autoSpaceDN w:val="0"/>
              <w:bidi w:val="0"/>
              <w:adjustRightInd w:val="0"/>
              <w:spacing w:after="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&lt;0.001</w:t>
            </w:r>
          </w:p>
        </w:tc>
      </w:tr>
    </w:tbl>
    <w:p w:rsidR="00406979" w:rsidRPr="00406979" w:rsidRDefault="00406979" w:rsidP="00406979">
      <w:pPr>
        <w:bidi w:val="0"/>
        <w:spacing w:after="0" w:line="240" w:lineRule="auto"/>
        <w:jc w:val="lowKashida"/>
        <w:rPr>
          <w:rFonts w:asciiTheme="majorBidi" w:hAnsiTheme="majorBidi" w:cstheme="majorBidi"/>
          <w:sz w:val="20"/>
          <w:szCs w:val="20"/>
          <w:lang w:bidi="ar-EG"/>
        </w:rPr>
      </w:pPr>
      <w:r w:rsidRPr="00406979">
        <w:rPr>
          <w:rFonts w:asciiTheme="majorBidi" w:hAnsiTheme="majorBidi" w:cstheme="majorBidi"/>
          <w:sz w:val="20"/>
          <w:szCs w:val="20"/>
          <w:lang w:bidi="ar-EG"/>
        </w:rPr>
        <w:t># repeated measures ANOVA.</w:t>
      </w:r>
    </w:p>
    <w:p w:rsidR="00406979" w:rsidRPr="00406979" w:rsidRDefault="00406979" w:rsidP="00406979">
      <w:pPr>
        <w:bidi w:val="0"/>
        <w:spacing w:before="100" w:beforeAutospacing="1" w:after="100" w:afterAutospacing="1" w:line="240" w:lineRule="auto"/>
        <w:jc w:val="lowKashida"/>
        <w:rPr>
          <w:rFonts w:asciiTheme="majorBidi" w:hAnsiTheme="majorBidi" w:cstheme="majorBidi"/>
          <w:i/>
          <w:iCs/>
          <w:sz w:val="20"/>
          <w:szCs w:val="20"/>
          <w:lang w:bidi="ar-EG"/>
        </w:rPr>
      </w:pPr>
      <w:r w:rsidRPr="00406979">
        <w:rPr>
          <w:rFonts w:asciiTheme="majorBidi" w:hAnsiTheme="majorBidi" w:cstheme="majorBidi"/>
          <w:i/>
          <w:iCs/>
          <w:sz w:val="20"/>
          <w:szCs w:val="20"/>
          <w:lang w:bidi="ar-EG"/>
        </w:rPr>
        <w:t>This table show that there a significant decrease from preoperative to 12 months postoperative regarding TC, TG, LDL, FBS, and HbA1c.</w:t>
      </w:r>
    </w:p>
    <w:p w:rsidR="00406979" w:rsidRPr="00406979" w:rsidRDefault="00406979" w:rsidP="00406979">
      <w:pPr>
        <w:bidi w:val="0"/>
        <w:spacing w:before="100" w:beforeAutospacing="1" w:after="100" w:afterAutospacing="1" w:line="240" w:lineRule="auto"/>
        <w:jc w:val="both"/>
        <w:rPr>
          <w:rFonts w:asciiTheme="majorBidi" w:hAnsiTheme="majorBidi" w:cstheme="majorBidi"/>
          <w:i/>
          <w:iCs/>
          <w:sz w:val="20"/>
          <w:szCs w:val="20"/>
        </w:rPr>
      </w:pPr>
      <w:r w:rsidRPr="00406979">
        <w:rPr>
          <w:rFonts w:asciiTheme="majorBidi" w:hAnsiTheme="majorBidi" w:cstheme="majorBidi"/>
          <w:b/>
          <w:bCs/>
          <w:i/>
          <w:iCs/>
          <w:sz w:val="20"/>
          <w:szCs w:val="20"/>
        </w:rPr>
        <w:t>Table (7):</w:t>
      </w:r>
      <w:r w:rsidRPr="00406979">
        <w:rPr>
          <w:rFonts w:asciiTheme="majorBidi" w:hAnsiTheme="majorBidi" w:cstheme="majorBidi"/>
          <w:i/>
          <w:iCs/>
          <w:sz w:val="20"/>
          <w:szCs w:val="20"/>
        </w:rPr>
        <w:t xml:space="preserve"> Pre and postoperative laboratory parameters among Group II.</w:t>
      </w:r>
    </w:p>
    <w:tbl>
      <w:tblPr>
        <w:tblW w:w="1065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2745"/>
        <w:gridCol w:w="2340"/>
        <w:gridCol w:w="2250"/>
        <w:gridCol w:w="2250"/>
        <w:gridCol w:w="1065"/>
      </w:tblGrid>
      <w:tr w:rsidR="00406979" w:rsidRPr="00406979" w:rsidTr="00406979">
        <w:trPr>
          <w:trHeight w:val="540"/>
          <w:jc w:val="center"/>
        </w:trPr>
        <w:tc>
          <w:tcPr>
            <w:tcW w:w="2745" w:type="dxa"/>
            <w:vMerge w:val="restart"/>
            <w:tcBorders>
              <w:top w:val="thinThickSmallGap" w:sz="24" w:space="0" w:color="auto"/>
              <w:left w:val="thinThickSmallGap" w:sz="24" w:space="0" w:color="auto"/>
              <w:bottom w:val="single" w:sz="6" w:space="0" w:color="auto"/>
              <w:right w:val="single" w:sz="6" w:space="0" w:color="auto"/>
            </w:tcBorders>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p>
        </w:tc>
        <w:tc>
          <w:tcPr>
            <w:tcW w:w="6840" w:type="dxa"/>
            <w:gridSpan w:val="3"/>
            <w:tcBorders>
              <w:top w:val="thinThickSmallGap" w:sz="24" w:space="0" w:color="auto"/>
              <w:left w:val="single" w:sz="6" w:space="0" w:color="auto"/>
              <w:bottom w:val="single" w:sz="6" w:space="0" w:color="auto"/>
              <w:right w:val="single" w:sz="6" w:space="0" w:color="auto"/>
            </w:tcBorders>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Group II </w:t>
            </w:r>
            <w:r w:rsidRPr="00406979">
              <w:rPr>
                <w:rFonts w:asciiTheme="majorBidi" w:hAnsiTheme="majorBidi" w:cstheme="majorBidi"/>
                <w:i/>
                <w:iCs/>
                <w:sz w:val="20"/>
                <w:szCs w:val="20"/>
              </w:rPr>
              <w:t>(n=20)</w:t>
            </w:r>
          </w:p>
        </w:tc>
        <w:tc>
          <w:tcPr>
            <w:tcW w:w="1065" w:type="dxa"/>
            <w:vMerge w:val="restart"/>
            <w:tcBorders>
              <w:top w:val="thinThickSmallGap" w:sz="24" w:space="0" w:color="auto"/>
              <w:left w:val="single" w:sz="6" w:space="0" w:color="auto"/>
              <w:bottom w:val="single" w:sz="6" w:space="0" w:color="auto"/>
              <w:right w:val="thickThinSmallGap" w:sz="24" w:space="0" w:color="auto"/>
            </w:tcBorders>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vertAlign w:val="superscript"/>
              </w:rPr>
            </w:pPr>
            <w:r w:rsidRPr="00406979">
              <w:rPr>
                <w:rFonts w:asciiTheme="majorBidi" w:hAnsiTheme="majorBidi" w:cstheme="majorBidi"/>
                <w:b/>
                <w:bCs/>
                <w:sz w:val="20"/>
                <w:szCs w:val="20"/>
              </w:rPr>
              <w:t>P</w:t>
            </w:r>
            <w:r w:rsidRPr="00406979">
              <w:rPr>
                <w:rFonts w:asciiTheme="majorBidi" w:hAnsiTheme="majorBidi" w:cstheme="majorBidi"/>
                <w:b/>
                <w:bCs/>
                <w:sz w:val="20"/>
                <w:szCs w:val="20"/>
                <w:vertAlign w:val="superscript"/>
              </w:rPr>
              <w:t>#</w:t>
            </w:r>
          </w:p>
        </w:tc>
      </w:tr>
      <w:tr w:rsidR="00406979" w:rsidRPr="00406979" w:rsidTr="00406979">
        <w:trPr>
          <w:trHeight w:val="540"/>
          <w:jc w:val="center"/>
        </w:trPr>
        <w:tc>
          <w:tcPr>
            <w:tcW w:w="2745" w:type="dxa"/>
            <w:vMerge/>
            <w:tcBorders>
              <w:top w:val="thinThickSmallGap" w:sz="24" w:space="0" w:color="auto"/>
              <w:left w:val="thinThickSmallGap" w:sz="24" w:space="0" w:color="auto"/>
              <w:bottom w:val="single" w:sz="6" w:space="0" w:color="auto"/>
              <w:right w:val="single" w:sz="6" w:space="0" w:color="auto"/>
            </w:tcBorders>
            <w:vAlign w:val="center"/>
            <w:hideMark/>
          </w:tcPr>
          <w:p w:rsidR="00406979" w:rsidRPr="00406979" w:rsidRDefault="00406979" w:rsidP="00406979">
            <w:pPr>
              <w:bidi w:val="0"/>
              <w:spacing w:after="0" w:line="240" w:lineRule="auto"/>
              <w:rPr>
                <w:rFonts w:asciiTheme="majorBidi" w:hAnsiTheme="majorBidi" w:cstheme="majorBidi"/>
                <w:b/>
                <w:bCs/>
                <w:i/>
                <w:iCs/>
                <w:sz w:val="20"/>
                <w:szCs w:val="20"/>
              </w:rPr>
            </w:pPr>
          </w:p>
        </w:tc>
        <w:tc>
          <w:tcPr>
            <w:tcW w:w="234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i/>
                <w:iCs/>
                <w:sz w:val="20"/>
                <w:szCs w:val="20"/>
              </w:rPr>
            </w:pPr>
            <w:r w:rsidRPr="00406979">
              <w:rPr>
                <w:rFonts w:asciiTheme="majorBidi" w:hAnsiTheme="majorBidi" w:cstheme="majorBidi"/>
                <w:i/>
                <w:iCs/>
                <w:sz w:val="20"/>
                <w:szCs w:val="20"/>
              </w:rPr>
              <w:t>Preoperative</w:t>
            </w:r>
          </w:p>
        </w:tc>
        <w:tc>
          <w:tcPr>
            <w:tcW w:w="225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i/>
                <w:iCs/>
                <w:sz w:val="20"/>
                <w:szCs w:val="20"/>
              </w:rPr>
            </w:pPr>
            <w:r w:rsidRPr="00406979">
              <w:rPr>
                <w:rFonts w:asciiTheme="majorBidi" w:hAnsiTheme="majorBidi" w:cstheme="majorBidi"/>
                <w:i/>
                <w:iCs/>
                <w:sz w:val="20"/>
                <w:szCs w:val="20"/>
              </w:rPr>
              <w:t>6m postop.</w:t>
            </w:r>
          </w:p>
        </w:tc>
        <w:tc>
          <w:tcPr>
            <w:tcW w:w="225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i/>
                <w:iCs/>
                <w:sz w:val="20"/>
                <w:szCs w:val="20"/>
              </w:rPr>
            </w:pPr>
            <w:r w:rsidRPr="00406979">
              <w:rPr>
                <w:rFonts w:asciiTheme="majorBidi" w:hAnsiTheme="majorBidi" w:cstheme="majorBidi"/>
                <w:i/>
                <w:iCs/>
                <w:sz w:val="20"/>
                <w:szCs w:val="20"/>
              </w:rPr>
              <w:t>12m postop.</w:t>
            </w:r>
          </w:p>
        </w:tc>
        <w:tc>
          <w:tcPr>
            <w:tcW w:w="1065" w:type="dxa"/>
            <w:vMerge/>
            <w:tcBorders>
              <w:top w:val="thinThickSmallGap" w:sz="24" w:space="0" w:color="auto"/>
              <w:left w:val="single" w:sz="6" w:space="0" w:color="auto"/>
              <w:bottom w:val="single" w:sz="6" w:space="0" w:color="auto"/>
              <w:right w:val="thickThinSmallGap" w:sz="24" w:space="0" w:color="auto"/>
            </w:tcBorders>
            <w:vAlign w:val="center"/>
            <w:hideMark/>
          </w:tcPr>
          <w:p w:rsidR="00406979" w:rsidRPr="00406979" w:rsidRDefault="00406979" w:rsidP="00406979">
            <w:pPr>
              <w:bidi w:val="0"/>
              <w:spacing w:after="0" w:line="240" w:lineRule="auto"/>
              <w:rPr>
                <w:rFonts w:asciiTheme="majorBidi" w:hAnsiTheme="majorBidi" w:cstheme="majorBidi"/>
                <w:b/>
                <w:bCs/>
                <w:sz w:val="20"/>
                <w:szCs w:val="20"/>
                <w:vertAlign w:val="superscript"/>
              </w:rPr>
            </w:pPr>
          </w:p>
        </w:tc>
      </w:tr>
      <w:tr w:rsidR="00406979" w:rsidRPr="00406979" w:rsidTr="00406979">
        <w:trPr>
          <w:trHeight w:val="720"/>
          <w:jc w:val="center"/>
        </w:trPr>
        <w:tc>
          <w:tcPr>
            <w:tcW w:w="2745" w:type="dxa"/>
            <w:tcBorders>
              <w:top w:val="single" w:sz="6" w:space="0" w:color="auto"/>
              <w:left w:val="thinThickSmallGap" w:sz="24" w:space="0" w:color="auto"/>
              <w:bottom w:val="single" w:sz="6" w:space="0" w:color="auto"/>
              <w:right w:val="single" w:sz="6" w:space="0" w:color="auto"/>
            </w:tcBorders>
            <w:shd w:val="clear" w:color="auto" w:fill="FABF8F" w:themeFill="accent6"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TC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34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207.64 ± 34.29</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176.94 ± 26.51</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162.73 ± 24.34</w:t>
            </w:r>
          </w:p>
        </w:tc>
        <w:tc>
          <w:tcPr>
            <w:tcW w:w="1065" w:type="dxa"/>
            <w:tcBorders>
              <w:top w:val="single" w:sz="6" w:space="0" w:color="auto"/>
              <w:left w:val="single" w:sz="6" w:space="0" w:color="auto"/>
              <w:bottom w:val="single" w:sz="6" w:space="0" w:color="auto"/>
              <w:right w:val="thickThinSmallGap" w:sz="2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&lt;0.001</w:t>
            </w:r>
          </w:p>
        </w:tc>
      </w:tr>
      <w:tr w:rsidR="00406979" w:rsidRPr="00406979" w:rsidTr="00406979">
        <w:trPr>
          <w:trHeight w:val="720"/>
          <w:jc w:val="center"/>
        </w:trPr>
        <w:tc>
          <w:tcPr>
            <w:tcW w:w="2745" w:type="dxa"/>
            <w:tcBorders>
              <w:top w:val="single" w:sz="6" w:space="0" w:color="auto"/>
              <w:left w:val="thinThickSmallGap" w:sz="24" w:space="0" w:color="auto"/>
              <w:bottom w:val="single" w:sz="6" w:space="0" w:color="auto"/>
              <w:right w:val="single" w:sz="6" w:space="0" w:color="auto"/>
            </w:tcBorders>
            <w:shd w:val="clear" w:color="auto" w:fill="FABF8F" w:themeFill="accent6"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TG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34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179.71 ± 69.21</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133.09 ± 30.63</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109.53 ± 28.37</w:t>
            </w:r>
          </w:p>
        </w:tc>
        <w:tc>
          <w:tcPr>
            <w:tcW w:w="1065" w:type="dxa"/>
            <w:tcBorders>
              <w:top w:val="single" w:sz="6" w:space="0" w:color="auto"/>
              <w:left w:val="single" w:sz="6" w:space="0" w:color="auto"/>
              <w:bottom w:val="single" w:sz="6" w:space="0" w:color="auto"/>
              <w:right w:val="thickThinSmallGap" w:sz="2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&lt;0.001</w:t>
            </w:r>
          </w:p>
        </w:tc>
      </w:tr>
      <w:tr w:rsidR="00406979" w:rsidRPr="00406979" w:rsidTr="00406979">
        <w:trPr>
          <w:trHeight w:val="720"/>
          <w:jc w:val="center"/>
        </w:trPr>
        <w:tc>
          <w:tcPr>
            <w:tcW w:w="2745" w:type="dxa"/>
            <w:tcBorders>
              <w:top w:val="single" w:sz="6" w:space="0" w:color="auto"/>
              <w:left w:val="thinThickSmallGap" w:sz="24" w:space="0" w:color="auto"/>
              <w:bottom w:val="single" w:sz="6" w:space="0" w:color="auto"/>
              <w:right w:val="single" w:sz="6" w:space="0" w:color="auto"/>
            </w:tcBorders>
            <w:shd w:val="clear" w:color="auto" w:fill="FABF8F" w:themeFill="accent6"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LDL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34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153.47 ± 32.78</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122.94 ± 23.99</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98.61 ± 20.61</w:t>
            </w:r>
          </w:p>
        </w:tc>
        <w:tc>
          <w:tcPr>
            <w:tcW w:w="1065" w:type="dxa"/>
            <w:tcBorders>
              <w:top w:val="single" w:sz="6" w:space="0" w:color="auto"/>
              <w:left w:val="single" w:sz="6" w:space="0" w:color="auto"/>
              <w:bottom w:val="single" w:sz="6" w:space="0" w:color="auto"/>
              <w:right w:val="thickThinSmallGap" w:sz="2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&lt;0.001</w:t>
            </w:r>
          </w:p>
        </w:tc>
      </w:tr>
      <w:tr w:rsidR="00406979" w:rsidRPr="00406979" w:rsidTr="00406979">
        <w:trPr>
          <w:trHeight w:val="720"/>
          <w:jc w:val="center"/>
        </w:trPr>
        <w:tc>
          <w:tcPr>
            <w:tcW w:w="2745" w:type="dxa"/>
            <w:tcBorders>
              <w:top w:val="single" w:sz="6" w:space="0" w:color="auto"/>
              <w:left w:val="thinThickSmallGap" w:sz="24" w:space="0" w:color="auto"/>
              <w:bottom w:val="single" w:sz="6" w:space="0" w:color="auto"/>
              <w:right w:val="single" w:sz="6" w:space="0" w:color="auto"/>
            </w:tcBorders>
            <w:shd w:val="clear" w:color="auto" w:fill="FABF8F" w:themeFill="accent6"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HDL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34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42.01 ± 5.11</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sz w:val="20"/>
                <w:szCs w:val="20"/>
              </w:rPr>
              <w:t>46.9 ± 3.23</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sz w:val="20"/>
                <w:szCs w:val="20"/>
              </w:rPr>
              <w:t>49.74 ± 3.71</w:t>
            </w:r>
          </w:p>
        </w:tc>
        <w:tc>
          <w:tcPr>
            <w:tcW w:w="1065" w:type="dxa"/>
            <w:tcBorders>
              <w:top w:val="single" w:sz="6" w:space="0" w:color="auto"/>
              <w:left w:val="single" w:sz="6" w:space="0" w:color="auto"/>
              <w:bottom w:val="single" w:sz="6" w:space="0" w:color="auto"/>
              <w:right w:val="thickThinSmallGap" w:sz="2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&lt;0.001</w:t>
            </w:r>
          </w:p>
        </w:tc>
      </w:tr>
      <w:tr w:rsidR="00406979" w:rsidRPr="00406979" w:rsidTr="00406979">
        <w:trPr>
          <w:trHeight w:val="720"/>
          <w:jc w:val="center"/>
        </w:trPr>
        <w:tc>
          <w:tcPr>
            <w:tcW w:w="2745" w:type="dxa"/>
            <w:tcBorders>
              <w:top w:val="single" w:sz="6" w:space="0" w:color="auto"/>
              <w:left w:val="thinThickSmallGap" w:sz="24" w:space="0" w:color="auto"/>
              <w:bottom w:val="single" w:sz="6" w:space="0" w:color="auto"/>
              <w:right w:val="single" w:sz="6" w:space="0" w:color="auto"/>
            </w:tcBorders>
            <w:shd w:val="clear" w:color="auto" w:fill="FABF8F" w:themeFill="accent6"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FBS </w:t>
            </w:r>
            <w:r w:rsidRPr="00406979">
              <w:rPr>
                <w:rFonts w:asciiTheme="majorBidi" w:hAnsiTheme="majorBidi" w:cstheme="majorBidi"/>
                <w:i/>
                <w:iCs/>
                <w:sz w:val="20"/>
                <w:szCs w:val="20"/>
              </w:rPr>
              <w:t>(mg/dl)</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34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172.6 ± 69.11</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105.36 ± 10.57</w:t>
            </w:r>
          </w:p>
        </w:tc>
        <w:tc>
          <w:tcPr>
            <w:tcW w:w="22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86.22 ± 9.84</w:t>
            </w:r>
          </w:p>
        </w:tc>
        <w:tc>
          <w:tcPr>
            <w:tcW w:w="1065" w:type="dxa"/>
            <w:tcBorders>
              <w:top w:val="single" w:sz="6" w:space="0" w:color="auto"/>
              <w:left w:val="single" w:sz="6" w:space="0" w:color="auto"/>
              <w:bottom w:val="single" w:sz="6" w:space="0" w:color="auto"/>
              <w:right w:val="thickThinSmallGap" w:sz="2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&lt;0.001</w:t>
            </w:r>
          </w:p>
        </w:tc>
      </w:tr>
      <w:tr w:rsidR="00406979" w:rsidRPr="00406979" w:rsidTr="00406979">
        <w:trPr>
          <w:trHeight w:val="720"/>
          <w:jc w:val="center"/>
        </w:trPr>
        <w:tc>
          <w:tcPr>
            <w:tcW w:w="2745" w:type="dxa"/>
            <w:tcBorders>
              <w:top w:val="single" w:sz="6" w:space="0" w:color="auto"/>
              <w:left w:val="thinThickSmallGap" w:sz="24" w:space="0" w:color="auto"/>
              <w:bottom w:val="thickThinSmallGap" w:sz="24" w:space="0" w:color="auto"/>
              <w:right w:val="single" w:sz="6" w:space="0" w:color="auto"/>
            </w:tcBorders>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HbA1c </w:t>
            </w:r>
            <w:r w:rsidRPr="00406979">
              <w:rPr>
                <w:rFonts w:asciiTheme="majorBidi" w:hAnsiTheme="majorBidi" w:cstheme="majorBidi"/>
                <w:i/>
                <w:iCs/>
                <w:sz w:val="20"/>
                <w:szCs w:val="20"/>
              </w:rPr>
              <w:t>(%)</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Mean ± SD</w:t>
            </w:r>
          </w:p>
        </w:tc>
        <w:tc>
          <w:tcPr>
            <w:tcW w:w="2340" w:type="dxa"/>
            <w:tcBorders>
              <w:top w:val="single" w:sz="4" w:space="0" w:color="auto"/>
              <w:left w:val="single" w:sz="6" w:space="0" w:color="auto"/>
              <w:bottom w:val="thickThinSmallGap" w:sz="24" w:space="0" w:color="auto"/>
              <w:right w:val="single" w:sz="6"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9.26 ± 2.2</w:t>
            </w:r>
          </w:p>
        </w:tc>
        <w:tc>
          <w:tcPr>
            <w:tcW w:w="2250" w:type="dxa"/>
            <w:tcBorders>
              <w:top w:val="single" w:sz="6" w:space="0" w:color="auto"/>
              <w:left w:val="single" w:sz="6" w:space="0" w:color="auto"/>
              <w:bottom w:val="thickThinSmallGap" w:sz="24" w:space="0" w:color="auto"/>
              <w:right w:val="single" w:sz="6"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6.35 ± 0.917</w:t>
            </w:r>
          </w:p>
        </w:tc>
        <w:tc>
          <w:tcPr>
            <w:tcW w:w="2250" w:type="dxa"/>
            <w:tcBorders>
              <w:top w:val="single" w:sz="6" w:space="0" w:color="auto"/>
              <w:left w:val="single" w:sz="6" w:space="0" w:color="auto"/>
              <w:bottom w:val="thickThinSmallGap" w:sz="24" w:space="0" w:color="auto"/>
              <w:right w:val="single" w:sz="6"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5.82 ± 0.581</w:t>
            </w:r>
          </w:p>
        </w:tc>
        <w:tc>
          <w:tcPr>
            <w:tcW w:w="1065" w:type="dxa"/>
            <w:tcBorders>
              <w:top w:val="single" w:sz="6" w:space="0" w:color="auto"/>
              <w:left w:val="single" w:sz="6" w:space="0" w:color="auto"/>
              <w:bottom w:val="thickThinSmallGap" w:sz="24" w:space="0" w:color="auto"/>
              <w:right w:val="thickThinSmallGap" w:sz="2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&lt;0.001</w:t>
            </w:r>
          </w:p>
        </w:tc>
      </w:tr>
    </w:tbl>
    <w:p w:rsidR="00406979" w:rsidRPr="00406979" w:rsidRDefault="00406979" w:rsidP="00406979">
      <w:pPr>
        <w:bidi w:val="0"/>
        <w:spacing w:after="0" w:line="240" w:lineRule="auto"/>
        <w:jc w:val="lowKashida"/>
        <w:rPr>
          <w:rFonts w:asciiTheme="majorBidi" w:hAnsiTheme="majorBidi" w:cstheme="majorBidi"/>
          <w:sz w:val="20"/>
          <w:szCs w:val="20"/>
          <w:lang w:bidi="ar-EG"/>
        </w:rPr>
      </w:pPr>
      <w:r w:rsidRPr="00406979">
        <w:rPr>
          <w:rFonts w:asciiTheme="majorBidi" w:hAnsiTheme="majorBidi" w:cstheme="majorBidi"/>
          <w:sz w:val="20"/>
          <w:szCs w:val="20"/>
          <w:lang w:bidi="ar-EG"/>
        </w:rPr>
        <w:t># repeated measures ANOVA.</w:t>
      </w:r>
    </w:p>
    <w:p w:rsidR="00406979" w:rsidRPr="00406979" w:rsidRDefault="00406979" w:rsidP="00406979">
      <w:pPr>
        <w:bidi w:val="0"/>
        <w:spacing w:before="100" w:beforeAutospacing="1" w:after="100" w:afterAutospacing="1" w:line="240" w:lineRule="auto"/>
        <w:jc w:val="lowKashida"/>
        <w:rPr>
          <w:rFonts w:asciiTheme="majorBidi" w:hAnsiTheme="majorBidi" w:cstheme="majorBidi"/>
          <w:i/>
          <w:iCs/>
          <w:sz w:val="20"/>
          <w:szCs w:val="20"/>
          <w:lang w:bidi="ar-EG"/>
        </w:rPr>
      </w:pPr>
      <w:r w:rsidRPr="00406979">
        <w:rPr>
          <w:rFonts w:asciiTheme="majorBidi" w:hAnsiTheme="majorBidi" w:cstheme="majorBidi"/>
          <w:i/>
          <w:iCs/>
          <w:sz w:val="20"/>
          <w:szCs w:val="20"/>
          <w:lang w:bidi="ar-EG"/>
        </w:rPr>
        <w:t>This table show that there a significant decrease from preoperative to 12 months postoperative regarding TC, TG, LDL, FBS, and HbA1c. While there a significant increase from preoperative to postoperative follow up time intervals regarding HDL.</w:t>
      </w:r>
    </w:p>
    <w:p w:rsidR="00E47047" w:rsidRDefault="00E47047" w:rsidP="00406979">
      <w:pPr>
        <w:bidi w:val="0"/>
        <w:spacing w:before="100" w:beforeAutospacing="1" w:after="100" w:afterAutospacing="1" w:line="240" w:lineRule="auto"/>
        <w:jc w:val="both"/>
        <w:rPr>
          <w:rFonts w:asciiTheme="majorBidi" w:hAnsiTheme="majorBidi" w:cstheme="majorBidi"/>
          <w:b/>
          <w:bCs/>
          <w:i/>
          <w:iCs/>
          <w:sz w:val="20"/>
          <w:szCs w:val="20"/>
        </w:rPr>
      </w:pPr>
    </w:p>
    <w:p w:rsidR="00406979" w:rsidRPr="00406979" w:rsidRDefault="00406979" w:rsidP="00E47047">
      <w:pPr>
        <w:bidi w:val="0"/>
        <w:spacing w:before="100" w:beforeAutospacing="1" w:after="100" w:afterAutospacing="1" w:line="240" w:lineRule="auto"/>
        <w:jc w:val="both"/>
        <w:rPr>
          <w:rFonts w:asciiTheme="majorBidi" w:hAnsiTheme="majorBidi" w:cstheme="majorBidi"/>
          <w:i/>
          <w:iCs/>
          <w:sz w:val="20"/>
          <w:szCs w:val="20"/>
        </w:rPr>
      </w:pPr>
      <w:r w:rsidRPr="00406979">
        <w:rPr>
          <w:rFonts w:asciiTheme="majorBidi" w:hAnsiTheme="majorBidi" w:cstheme="majorBidi"/>
          <w:b/>
          <w:bCs/>
          <w:i/>
          <w:iCs/>
          <w:sz w:val="20"/>
          <w:szCs w:val="20"/>
        </w:rPr>
        <w:lastRenderedPageBreak/>
        <w:t>Table (8):</w:t>
      </w:r>
      <w:r w:rsidRPr="00406979">
        <w:rPr>
          <w:rFonts w:asciiTheme="majorBidi" w:hAnsiTheme="majorBidi" w:cstheme="majorBidi"/>
          <w:i/>
          <w:iCs/>
          <w:sz w:val="20"/>
          <w:szCs w:val="20"/>
        </w:rPr>
        <w:t xml:space="preserve"> Preoperative and postoperative BMI between the two groups</w:t>
      </w:r>
    </w:p>
    <w:tbl>
      <w:tblPr>
        <w:tblW w:w="1057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890"/>
        <w:gridCol w:w="1935"/>
        <w:gridCol w:w="1890"/>
        <w:gridCol w:w="1980"/>
        <w:gridCol w:w="1800"/>
        <w:gridCol w:w="1080"/>
      </w:tblGrid>
      <w:tr w:rsidR="00406979" w:rsidRPr="00406979" w:rsidTr="00406979">
        <w:trPr>
          <w:trHeight w:val="540"/>
          <w:jc w:val="center"/>
        </w:trPr>
        <w:tc>
          <w:tcPr>
            <w:tcW w:w="1890" w:type="dxa"/>
            <w:vMerge w:val="restart"/>
            <w:tcBorders>
              <w:top w:val="thinThickSmallGap" w:sz="24" w:space="0" w:color="auto"/>
              <w:left w:val="thinThickSmallGap" w:sz="24" w:space="0" w:color="auto"/>
              <w:bottom w:val="single" w:sz="6" w:space="0" w:color="auto"/>
              <w:right w:val="single" w:sz="6" w:space="0" w:color="auto"/>
            </w:tcBorders>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BMI </w:t>
            </w:r>
            <w:r w:rsidRPr="00406979">
              <w:rPr>
                <w:rFonts w:asciiTheme="majorBidi" w:hAnsiTheme="majorBidi" w:cstheme="majorBidi"/>
                <w:i/>
                <w:iCs/>
                <w:sz w:val="20"/>
                <w:szCs w:val="20"/>
              </w:rPr>
              <w:t>(kg/m</w:t>
            </w:r>
            <w:r w:rsidRPr="00406979">
              <w:rPr>
                <w:rFonts w:asciiTheme="majorBidi" w:hAnsiTheme="majorBidi" w:cstheme="majorBidi"/>
                <w:i/>
                <w:iCs/>
                <w:sz w:val="20"/>
                <w:szCs w:val="20"/>
                <w:vertAlign w:val="superscript"/>
              </w:rPr>
              <w:t>2</w:t>
            </w:r>
            <w:r w:rsidRPr="00406979">
              <w:rPr>
                <w:rFonts w:asciiTheme="majorBidi" w:hAnsiTheme="majorBidi" w:cstheme="majorBidi"/>
                <w:i/>
                <w:iCs/>
                <w:sz w:val="20"/>
                <w:szCs w:val="20"/>
              </w:rPr>
              <w:t>)</w:t>
            </w:r>
          </w:p>
        </w:tc>
        <w:tc>
          <w:tcPr>
            <w:tcW w:w="7605" w:type="dxa"/>
            <w:gridSpan w:val="4"/>
            <w:tcBorders>
              <w:top w:val="thinThickSmallGap" w:sz="24" w:space="0" w:color="auto"/>
              <w:left w:val="single" w:sz="6" w:space="0" w:color="auto"/>
              <w:bottom w:val="single" w:sz="6" w:space="0" w:color="auto"/>
              <w:right w:val="single" w:sz="6" w:space="0" w:color="auto"/>
            </w:tcBorders>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i/>
                <w:iCs/>
                <w:sz w:val="20"/>
                <w:szCs w:val="20"/>
              </w:rPr>
              <w:t>Mean ± SD</w:t>
            </w:r>
          </w:p>
        </w:tc>
        <w:tc>
          <w:tcPr>
            <w:tcW w:w="1080" w:type="dxa"/>
            <w:vMerge w:val="restart"/>
            <w:tcBorders>
              <w:top w:val="thinThickSmallGap" w:sz="24" w:space="0" w:color="auto"/>
              <w:left w:val="single" w:sz="6" w:space="0" w:color="auto"/>
              <w:bottom w:val="single" w:sz="6" w:space="0" w:color="auto"/>
              <w:right w:val="thickThinSmallGap" w:sz="24" w:space="0" w:color="auto"/>
            </w:tcBorders>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i/>
                <w:iCs/>
                <w:sz w:val="20"/>
                <w:szCs w:val="20"/>
              </w:rPr>
              <w:t>P</w:t>
            </w:r>
            <w:r w:rsidRPr="00406979">
              <w:rPr>
                <w:rFonts w:asciiTheme="majorBidi" w:hAnsiTheme="majorBidi" w:cstheme="majorBidi"/>
                <w:b/>
                <w:bCs/>
                <w:sz w:val="20"/>
                <w:szCs w:val="20"/>
                <w:vertAlign w:val="superscript"/>
              </w:rPr>
              <w:t>#</w:t>
            </w:r>
          </w:p>
        </w:tc>
      </w:tr>
      <w:tr w:rsidR="00406979" w:rsidRPr="00406979" w:rsidTr="00406979">
        <w:trPr>
          <w:trHeight w:val="540"/>
          <w:jc w:val="center"/>
        </w:trPr>
        <w:tc>
          <w:tcPr>
            <w:tcW w:w="1890" w:type="dxa"/>
            <w:vMerge/>
            <w:tcBorders>
              <w:top w:val="thinThickSmallGap" w:sz="24" w:space="0" w:color="auto"/>
              <w:left w:val="thinThickSmallGap" w:sz="24" w:space="0" w:color="auto"/>
              <w:bottom w:val="single" w:sz="6" w:space="0" w:color="auto"/>
              <w:right w:val="single" w:sz="6" w:space="0" w:color="auto"/>
            </w:tcBorders>
            <w:vAlign w:val="center"/>
            <w:hideMark/>
          </w:tcPr>
          <w:p w:rsidR="00406979" w:rsidRPr="00406979" w:rsidRDefault="00406979" w:rsidP="00406979">
            <w:pPr>
              <w:bidi w:val="0"/>
              <w:spacing w:after="0" w:line="240" w:lineRule="auto"/>
              <w:rPr>
                <w:rFonts w:asciiTheme="majorBidi" w:hAnsiTheme="majorBidi" w:cstheme="majorBidi"/>
                <w:b/>
                <w:bCs/>
                <w:sz w:val="20"/>
                <w:szCs w:val="20"/>
              </w:rPr>
            </w:pPr>
          </w:p>
        </w:tc>
        <w:tc>
          <w:tcPr>
            <w:tcW w:w="1935"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i/>
                <w:iCs/>
                <w:sz w:val="20"/>
                <w:szCs w:val="20"/>
              </w:rPr>
            </w:pPr>
            <w:r w:rsidRPr="00406979">
              <w:rPr>
                <w:rFonts w:asciiTheme="majorBidi" w:hAnsiTheme="majorBidi" w:cstheme="majorBidi"/>
                <w:i/>
                <w:iCs/>
                <w:sz w:val="20"/>
                <w:szCs w:val="20"/>
              </w:rPr>
              <w:t>Preoperative</w:t>
            </w:r>
          </w:p>
        </w:tc>
        <w:tc>
          <w:tcPr>
            <w:tcW w:w="189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i/>
                <w:iCs/>
                <w:sz w:val="20"/>
                <w:szCs w:val="20"/>
              </w:rPr>
            </w:pPr>
            <w:r w:rsidRPr="00406979">
              <w:rPr>
                <w:rFonts w:asciiTheme="majorBidi" w:hAnsiTheme="majorBidi" w:cstheme="majorBidi"/>
                <w:i/>
                <w:iCs/>
                <w:sz w:val="20"/>
                <w:szCs w:val="20"/>
              </w:rPr>
              <w:t>3m postop.</w:t>
            </w:r>
          </w:p>
        </w:tc>
        <w:tc>
          <w:tcPr>
            <w:tcW w:w="198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i/>
                <w:iCs/>
                <w:sz w:val="20"/>
                <w:szCs w:val="20"/>
              </w:rPr>
            </w:pPr>
            <w:r w:rsidRPr="00406979">
              <w:rPr>
                <w:rFonts w:asciiTheme="majorBidi" w:hAnsiTheme="majorBidi" w:cstheme="majorBidi"/>
                <w:i/>
                <w:iCs/>
                <w:sz w:val="20"/>
                <w:szCs w:val="20"/>
              </w:rPr>
              <w:t>6m postop.</w:t>
            </w:r>
          </w:p>
        </w:tc>
        <w:tc>
          <w:tcPr>
            <w:tcW w:w="1800" w:type="dxa"/>
            <w:tcBorders>
              <w:top w:val="single" w:sz="6" w:space="0" w:color="auto"/>
              <w:left w:val="single" w:sz="6" w:space="0" w:color="auto"/>
              <w:bottom w:val="single" w:sz="6" w:space="0" w:color="auto"/>
              <w:right w:val="single" w:sz="6" w:space="0" w:color="auto"/>
            </w:tcBorders>
            <w:shd w:val="clear" w:color="auto" w:fill="B2A1C7" w:themeFill="accent4"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i/>
                <w:iCs/>
                <w:sz w:val="20"/>
                <w:szCs w:val="20"/>
              </w:rPr>
            </w:pPr>
            <w:r w:rsidRPr="00406979">
              <w:rPr>
                <w:rFonts w:asciiTheme="majorBidi" w:hAnsiTheme="majorBidi" w:cstheme="majorBidi"/>
                <w:i/>
                <w:iCs/>
                <w:sz w:val="20"/>
                <w:szCs w:val="20"/>
              </w:rPr>
              <w:t>12m postop.</w:t>
            </w:r>
          </w:p>
        </w:tc>
        <w:tc>
          <w:tcPr>
            <w:tcW w:w="1080" w:type="dxa"/>
            <w:vMerge/>
            <w:tcBorders>
              <w:top w:val="thinThickSmallGap" w:sz="24" w:space="0" w:color="auto"/>
              <w:left w:val="single" w:sz="6" w:space="0" w:color="auto"/>
              <w:bottom w:val="single" w:sz="6" w:space="0" w:color="auto"/>
              <w:right w:val="thickThinSmallGap" w:sz="24" w:space="0" w:color="auto"/>
            </w:tcBorders>
            <w:vAlign w:val="center"/>
            <w:hideMark/>
          </w:tcPr>
          <w:p w:rsidR="00406979" w:rsidRPr="00406979" w:rsidRDefault="00406979" w:rsidP="00406979">
            <w:pPr>
              <w:bidi w:val="0"/>
              <w:spacing w:after="0" w:line="240" w:lineRule="auto"/>
              <w:rPr>
                <w:rFonts w:asciiTheme="majorBidi" w:hAnsiTheme="majorBidi" w:cstheme="majorBidi"/>
                <w:b/>
                <w:bCs/>
                <w:sz w:val="20"/>
                <w:szCs w:val="20"/>
                <w:vertAlign w:val="superscript"/>
              </w:rPr>
            </w:pPr>
          </w:p>
        </w:tc>
      </w:tr>
      <w:tr w:rsidR="00406979" w:rsidRPr="00406979" w:rsidTr="00406979">
        <w:trPr>
          <w:trHeight w:val="720"/>
          <w:jc w:val="center"/>
        </w:trPr>
        <w:tc>
          <w:tcPr>
            <w:tcW w:w="1890" w:type="dxa"/>
            <w:tcBorders>
              <w:top w:val="single" w:sz="6" w:space="0" w:color="auto"/>
              <w:left w:val="thinThickSmallGap" w:sz="24" w:space="0" w:color="auto"/>
              <w:bottom w:val="single" w:sz="6" w:space="0" w:color="auto"/>
              <w:right w:val="single" w:sz="6" w:space="0" w:color="auto"/>
            </w:tcBorders>
            <w:shd w:val="clear" w:color="auto" w:fill="FABF8F" w:themeFill="accent6"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i/>
                <w:iCs/>
                <w:sz w:val="20"/>
                <w:szCs w:val="20"/>
              </w:rPr>
            </w:pPr>
            <w:r w:rsidRPr="00406979">
              <w:rPr>
                <w:rFonts w:asciiTheme="majorBidi" w:hAnsiTheme="majorBidi" w:cstheme="majorBidi"/>
                <w:b/>
                <w:bCs/>
                <w:i/>
                <w:iCs/>
                <w:sz w:val="20"/>
                <w:szCs w:val="20"/>
              </w:rPr>
              <w:t>Group I</w:t>
            </w:r>
          </w:p>
        </w:tc>
        <w:tc>
          <w:tcPr>
            <w:tcW w:w="1935"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46.83 ± 8.79</w:t>
            </w:r>
          </w:p>
        </w:tc>
        <w:tc>
          <w:tcPr>
            <w:tcW w:w="1890" w:type="dxa"/>
            <w:tcBorders>
              <w:top w:val="single" w:sz="6" w:space="0" w:color="auto"/>
              <w:left w:val="single" w:sz="6" w:space="0" w:color="auto"/>
              <w:bottom w:val="single" w:sz="6" w:space="0" w:color="auto"/>
              <w:right w:val="single" w:sz="6"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40.23 ± 7.54</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35.05 ± 8.87</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30.01 ± 7.96</w:t>
            </w:r>
          </w:p>
        </w:tc>
        <w:tc>
          <w:tcPr>
            <w:tcW w:w="1080" w:type="dxa"/>
            <w:tcBorders>
              <w:top w:val="single" w:sz="6" w:space="0" w:color="auto"/>
              <w:left w:val="single" w:sz="6" w:space="0" w:color="auto"/>
              <w:bottom w:val="single" w:sz="6" w:space="0" w:color="auto"/>
              <w:right w:val="thickThinSmallGap" w:sz="24"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&lt;0.001</w:t>
            </w:r>
          </w:p>
        </w:tc>
      </w:tr>
      <w:tr w:rsidR="00406979" w:rsidRPr="00406979" w:rsidTr="00406979">
        <w:trPr>
          <w:trHeight w:val="720"/>
          <w:jc w:val="center"/>
        </w:trPr>
        <w:tc>
          <w:tcPr>
            <w:tcW w:w="1890" w:type="dxa"/>
            <w:tcBorders>
              <w:top w:val="single" w:sz="6" w:space="0" w:color="auto"/>
              <w:left w:val="thinThickSmallGap" w:sz="24" w:space="0" w:color="auto"/>
              <w:bottom w:val="thickThinSmallGap" w:sz="24" w:space="0" w:color="auto"/>
              <w:right w:val="single" w:sz="6" w:space="0" w:color="auto"/>
            </w:tcBorders>
            <w:shd w:val="clear" w:color="auto" w:fill="FABF8F" w:themeFill="accent6" w:themeFillTint="99"/>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Group II</w:t>
            </w:r>
          </w:p>
        </w:tc>
        <w:tc>
          <w:tcPr>
            <w:tcW w:w="1935" w:type="dxa"/>
            <w:tcBorders>
              <w:top w:val="single" w:sz="4" w:space="0" w:color="auto"/>
              <w:left w:val="single" w:sz="6" w:space="0" w:color="auto"/>
              <w:bottom w:val="thickThinSmallGap" w:sz="24"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49.6 ± 9.11</w:t>
            </w:r>
          </w:p>
        </w:tc>
        <w:tc>
          <w:tcPr>
            <w:tcW w:w="1890" w:type="dxa"/>
            <w:tcBorders>
              <w:top w:val="single" w:sz="6" w:space="0" w:color="auto"/>
              <w:left w:val="single" w:sz="6" w:space="0" w:color="auto"/>
              <w:bottom w:val="thickThinSmallGap" w:sz="24" w:space="0" w:color="auto"/>
              <w:right w:val="single" w:sz="6"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42.63 ± 7.11</w:t>
            </w:r>
          </w:p>
        </w:tc>
        <w:tc>
          <w:tcPr>
            <w:tcW w:w="1980" w:type="dxa"/>
            <w:tcBorders>
              <w:top w:val="single" w:sz="6" w:space="0" w:color="auto"/>
              <w:left w:val="single" w:sz="6" w:space="0" w:color="auto"/>
              <w:bottom w:val="thickThinSmallGap" w:sz="24"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36.55 ± 6.07</w:t>
            </w:r>
          </w:p>
        </w:tc>
        <w:tc>
          <w:tcPr>
            <w:tcW w:w="1800" w:type="dxa"/>
            <w:tcBorders>
              <w:top w:val="single" w:sz="6" w:space="0" w:color="auto"/>
              <w:left w:val="single" w:sz="6" w:space="0" w:color="auto"/>
              <w:bottom w:val="thickThinSmallGap" w:sz="24" w:space="0" w:color="auto"/>
              <w:right w:val="single" w:sz="6"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31.22 ± 4.89</w:t>
            </w:r>
          </w:p>
        </w:tc>
        <w:tc>
          <w:tcPr>
            <w:tcW w:w="1080" w:type="dxa"/>
            <w:tcBorders>
              <w:top w:val="single" w:sz="6" w:space="0" w:color="auto"/>
              <w:left w:val="single" w:sz="6" w:space="0" w:color="auto"/>
              <w:bottom w:val="thickThinSmallGap" w:sz="24" w:space="0" w:color="auto"/>
              <w:right w:val="thickThinSmallGap" w:sz="24" w:space="0" w:color="auto"/>
            </w:tcBorders>
            <w:shd w:val="clear" w:color="auto" w:fill="FFFFFF"/>
            <w:vAlign w:val="center"/>
            <w:hideMark/>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&lt;0.001</w:t>
            </w:r>
          </w:p>
        </w:tc>
      </w:tr>
    </w:tbl>
    <w:p w:rsidR="00406979" w:rsidRPr="00406979" w:rsidRDefault="00406979" w:rsidP="00406979">
      <w:pPr>
        <w:bidi w:val="0"/>
        <w:spacing w:after="0" w:line="240" w:lineRule="auto"/>
        <w:jc w:val="lowKashida"/>
        <w:rPr>
          <w:rFonts w:asciiTheme="majorBidi" w:hAnsiTheme="majorBidi" w:cstheme="majorBidi"/>
          <w:sz w:val="20"/>
          <w:szCs w:val="20"/>
          <w:lang w:bidi="ar-EG"/>
        </w:rPr>
      </w:pPr>
      <w:r w:rsidRPr="00406979">
        <w:rPr>
          <w:rFonts w:asciiTheme="majorBidi" w:hAnsiTheme="majorBidi" w:cstheme="majorBidi"/>
          <w:sz w:val="20"/>
          <w:szCs w:val="20"/>
          <w:lang w:bidi="ar-EG"/>
        </w:rPr>
        <w:t># repeated measures ANOVA.</w:t>
      </w:r>
    </w:p>
    <w:p w:rsidR="00406979" w:rsidRPr="00406979" w:rsidRDefault="00406979" w:rsidP="00406979">
      <w:pPr>
        <w:bidi w:val="0"/>
        <w:spacing w:before="100" w:beforeAutospacing="1" w:after="100" w:afterAutospacing="1" w:line="240" w:lineRule="auto"/>
        <w:jc w:val="lowKashida"/>
        <w:rPr>
          <w:rFonts w:asciiTheme="majorBidi" w:hAnsiTheme="majorBidi" w:cstheme="majorBidi"/>
          <w:i/>
          <w:iCs/>
          <w:sz w:val="20"/>
          <w:szCs w:val="20"/>
          <w:lang w:bidi="ar-EG"/>
        </w:rPr>
      </w:pPr>
      <w:r w:rsidRPr="00406979">
        <w:rPr>
          <w:rFonts w:asciiTheme="majorBidi" w:hAnsiTheme="majorBidi" w:cstheme="majorBidi"/>
          <w:i/>
          <w:iCs/>
          <w:sz w:val="20"/>
          <w:szCs w:val="20"/>
          <w:lang w:bidi="ar-EG"/>
        </w:rPr>
        <w:t>This table show that there a significant decrease from preoperative to 12 months postoperative regarding BMI in both groups.</w:t>
      </w:r>
    </w:p>
    <w:p w:rsidR="00406979" w:rsidRPr="00406979" w:rsidRDefault="00406979" w:rsidP="00406979">
      <w:pPr>
        <w:bidi w:val="0"/>
        <w:spacing w:before="100" w:beforeAutospacing="1" w:after="0" w:line="240" w:lineRule="auto"/>
        <w:jc w:val="both"/>
        <w:rPr>
          <w:rFonts w:asciiTheme="majorBidi" w:hAnsiTheme="majorBidi" w:cstheme="majorBidi"/>
          <w:i/>
          <w:iCs/>
          <w:sz w:val="20"/>
          <w:szCs w:val="20"/>
        </w:rPr>
      </w:pPr>
      <w:r w:rsidRPr="00406979">
        <w:rPr>
          <w:rFonts w:asciiTheme="majorBidi" w:hAnsiTheme="majorBidi" w:cstheme="majorBidi"/>
          <w:b/>
          <w:bCs/>
          <w:i/>
          <w:iCs/>
          <w:sz w:val="20"/>
          <w:szCs w:val="20"/>
        </w:rPr>
        <w:t xml:space="preserve">Table (9): </w:t>
      </w:r>
      <w:r w:rsidRPr="00406979">
        <w:rPr>
          <w:rFonts w:asciiTheme="majorBidi" w:hAnsiTheme="majorBidi" w:cstheme="majorBidi"/>
          <w:i/>
          <w:iCs/>
          <w:sz w:val="20"/>
          <w:szCs w:val="20"/>
        </w:rPr>
        <w:t>Early</w:t>
      </w:r>
      <w:r w:rsidRPr="00406979">
        <w:rPr>
          <w:rFonts w:asciiTheme="majorBidi" w:hAnsiTheme="majorBidi" w:cstheme="majorBidi"/>
          <w:b/>
          <w:bCs/>
          <w:i/>
          <w:iCs/>
          <w:sz w:val="20"/>
          <w:szCs w:val="20"/>
        </w:rPr>
        <w:t xml:space="preserve"> </w:t>
      </w:r>
      <w:r w:rsidRPr="00406979">
        <w:rPr>
          <w:rFonts w:asciiTheme="majorBidi" w:hAnsiTheme="majorBidi" w:cstheme="majorBidi"/>
          <w:i/>
          <w:iCs/>
          <w:sz w:val="20"/>
          <w:szCs w:val="20"/>
        </w:rPr>
        <w:t>postoperative</w:t>
      </w:r>
      <w:r w:rsidRPr="00406979">
        <w:rPr>
          <w:rFonts w:asciiTheme="majorBidi" w:hAnsiTheme="majorBidi" w:cstheme="majorBidi"/>
          <w:b/>
          <w:bCs/>
          <w:i/>
          <w:iCs/>
          <w:sz w:val="20"/>
          <w:szCs w:val="20"/>
        </w:rPr>
        <w:t xml:space="preserve"> </w:t>
      </w:r>
      <w:r w:rsidRPr="00406979">
        <w:rPr>
          <w:rFonts w:asciiTheme="majorBidi" w:hAnsiTheme="majorBidi" w:cstheme="majorBidi"/>
          <w:i/>
          <w:iCs/>
          <w:sz w:val="20"/>
          <w:szCs w:val="20"/>
        </w:rPr>
        <w:t>complications between the two studied groups</w:t>
      </w:r>
    </w:p>
    <w:tbl>
      <w:tblPr>
        <w:tblW w:w="999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3690"/>
        <w:gridCol w:w="1980"/>
        <w:gridCol w:w="1980"/>
        <w:gridCol w:w="1170"/>
        <w:gridCol w:w="1170"/>
      </w:tblGrid>
      <w:tr w:rsidR="00406979" w:rsidRPr="00406979" w:rsidTr="00406979">
        <w:trPr>
          <w:trHeight w:val="540"/>
          <w:jc w:val="center"/>
        </w:trPr>
        <w:tc>
          <w:tcPr>
            <w:tcW w:w="3690" w:type="dxa"/>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p>
        </w:tc>
        <w:tc>
          <w:tcPr>
            <w:tcW w:w="1980" w:type="dxa"/>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Group I</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i/>
                <w:iCs/>
                <w:sz w:val="20"/>
                <w:szCs w:val="20"/>
              </w:rPr>
            </w:pPr>
            <w:r w:rsidRPr="00406979">
              <w:rPr>
                <w:rFonts w:asciiTheme="majorBidi" w:hAnsiTheme="majorBidi" w:cstheme="majorBidi"/>
                <w:i/>
                <w:iCs/>
                <w:sz w:val="20"/>
                <w:szCs w:val="20"/>
              </w:rPr>
              <w:t>(n=20)</w:t>
            </w:r>
          </w:p>
        </w:tc>
        <w:tc>
          <w:tcPr>
            <w:tcW w:w="1980" w:type="dxa"/>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Group II </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(n=20)</w:t>
            </w:r>
          </w:p>
        </w:tc>
        <w:tc>
          <w:tcPr>
            <w:tcW w:w="1170" w:type="dxa"/>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χ</w:t>
            </w:r>
            <w:r w:rsidRPr="00406979">
              <w:rPr>
                <w:rFonts w:asciiTheme="majorBidi" w:hAnsiTheme="majorBidi" w:cstheme="majorBidi"/>
                <w:b/>
                <w:bCs/>
                <w:i/>
                <w:iCs/>
                <w:sz w:val="20"/>
                <w:szCs w:val="20"/>
                <w:vertAlign w:val="superscript"/>
              </w:rPr>
              <w:t>2</w:t>
            </w:r>
          </w:p>
        </w:tc>
        <w:tc>
          <w:tcPr>
            <w:tcW w:w="1170" w:type="dxa"/>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P</w:t>
            </w:r>
          </w:p>
        </w:tc>
      </w:tr>
      <w:tr w:rsidR="00406979" w:rsidRPr="00406979" w:rsidTr="00406979">
        <w:trPr>
          <w:trHeight w:val="720"/>
          <w:jc w:val="center"/>
        </w:trPr>
        <w:tc>
          <w:tcPr>
            <w:tcW w:w="3690" w:type="dxa"/>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Bleeding </w:t>
            </w:r>
          </w:p>
        </w:tc>
        <w:tc>
          <w:tcPr>
            <w:tcW w:w="198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 (5%)</w:t>
            </w:r>
          </w:p>
        </w:tc>
        <w:tc>
          <w:tcPr>
            <w:tcW w:w="198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2 (10%)</w:t>
            </w:r>
          </w:p>
        </w:tc>
        <w:tc>
          <w:tcPr>
            <w:tcW w:w="117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.360</w:t>
            </w:r>
          </w:p>
        </w:tc>
        <w:tc>
          <w:tcPr>
            <w:tcW w:w="117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.548</w:t>
            </w:r>
          </w:p>
        </w:tc>
      </w:tr>
      <w:tr w:rsidR="00406979" w:rsidRPr="00406979" w:rsidTr="00406979">
        <w:trPr>
          <w:trHeight w:val="720"/>
          <w:jc w:val="center"/>
        </w:trPr>
        <w:tc>
          <w:tcPr>
            <w:tcW w:w="3690" w:type="dxa"/>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Leakage</w:t>
            </w:r>
          </w:p>
        </w:tc>
        <w:tc>
          <w:tcPr>
            <w:tcW w:w="198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 (5%)</w:t>
            </w:r>
          </w:p>
        </w:tc>
        <w:tc>
          <w:tcPr>
            <w:tcW w:w="198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2 (10%)</w:t>
            </w:r>
          </w:p>
        </w:tc>
        <w:tc>
          <w:tcPr>
            <w:tcW w:w="117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.360</w:t>
            </w:r>
          </w:p>
        </w:tc>
        <w:tc>
          <w:tcPr>
            <w:tcW w:w="117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.548</w:t>
            </w:r>
          </w:p>
        </w:tc>
      </w:tr>
      <w:tr w:rsidR="00406979" w:rsidRPr="00406979" w:rsidTr="00406979">
        <w:trPr>
          <w:trHeight w:val="720"/>
          <w:jc w:val="center"/>
        </w:trPr>
        <w:tc>
          <w:tcPr>
            <w:tcW w:w="3690" w:type="dxa"/>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Ulcer</w:t>
            </w:r>
          </w:p>
        </w:tc>
        <w:tc>
          <w:tcPr>
            <w:tcW w:w="198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0</w:t>
            </w:r>
          </w:p>
        </w:tc>
        <w:tc>
          <w:tcPr>
            <w:tcW w:w="198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 (5%)</w:t>
            </w:r>
          </w:p>
        </w:tc>
        <w:tc>
          <w:tcPr>
            <w:tcW w:w="117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1.03</w:t>
            </w:r>
          </w:p>
        </w:tc>
        <w:tc>
          <w:tcPr>
            <w:tcW w:w="117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.313</w:t>
            </w:r>
          </w:p>
        </w:tc>
      </w:tr>
      <w:tr w:rsidR="00406979" w:rsidRPr="00406979" w:rsidTr="00406979">
        <w:trPr>
          <w:trHeight w:val="720"/>
          <w:jc w:val="center"/>
        </w:trPr>
        <w:tc>
          <w:tcPr>
            <w:tcW w:w="3690" w:type="dxa"/>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Stricture</w:t>
            </w:r>
          </w:p>
        </w:tc>
        <w:tc>
          <w:tcPr>
            <w:tcW w:w="198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2 (10%)</w:t>
            </w:r>
          </w:p>
        </w:tc>
        <w:tc>
          <w:tcPr>
            <w:tcW w:w="198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 xml:space="preserve">2 (10%) </w:t>
            </w:r>
          </w:p>
        </w:tc>
        <w:tc>
          <w:tcPr>
            <w:tcW w:w="117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sz w:val="20"/>
                <w:szCs w:val="20"/>
              </w:rPr>
            </w:pPr>
            <w:r w:rsidRPr="00406979">
              <w:rPr>
                <w:rFonts w:asciiTheme="majorBidi" w:hAnsiTheme="majorBidi" w:cstheme="majorBidi"/>
                <w:b/>
                <w:bCs/>
                <w:sz w:val="20"/>
                <w:szCs w:val="20"/>
              </w:rPr>
              <w:t>--</w:t>
            </w:r>
          </w:p>
        </w:tc>
        <w:tc>
          <w:tcPr>
            <w:tcW w:w="117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w:t>
            </w:r>
          </w:p>
        </w:tc>
      </w:tr>
    </w:tbl>
    <w:p w:rsidR="00406979" w:rsidRPr="00406979" w:rsidRDefault="00406979" w:rsidP="00406979">
      <w:pPr>
        <w:bidi w:val="0"/>
        <w:spacing w:before="100" w:beforeAutospacing="1" w:after="100" w:afterAutospacing="1" w:line="240" w:lineRule="auto"/>
        <w:jc w:val="lowKashida"/>
        <w:rPr>
          <w:rFonts w:asciiTheme="majorBidi" w:hAnsiTheme="majorBidi" w:cstheme="majorBidi"/>
          <w:i/>
          <w:iCs/>
          <w:sz w:val="20"/>
          <w:szCs w:val="20"/>
          <w:lang w:bidi="ar-EG"/>
        </w:rPr>
      </w:pPr>
      <w:r w:rsidRPr="00406979">
        <w:rPr>
          <w:rFonts w:asciiTheme="majorBidi" w:hAnsiTheme="majorBidi" w:cstheme="majorBidi"/>
          <w:i/>
          <w:iCs/>
          <w:sz w:val="20"/>
          <w:szCs w:val="20"/>
          <w:lang w:bidi="ar-EG"/>
        </w:rPr>
        <w:t>This table shows that there is no significant difference between the two studied groups regarding early complications.</w:t>
      </w:r>
    </w:p>
    <w:p w:rsidR="00E47047" w:rsidRDefault="00E47047" w:rsidP="00406979">
      <w:pPr>
        <w:bidi w:val="0"/>
        <w:spacing w:before="100" w:beforeAutospacing="1" w:after="0" w:line="240" w:lineRule="auto"/>
        <w:jc w:val="both"/>
        <w:rPr>
          <w:rFonts w:asciiTheme="majorBidi" w:hAnsiTheme="majorBidi" w:cstheme="majorBidi"/>
          <w:b/>
          <w:bCs/>
          <w:i/>
          <w:iCs/>
          <w:sz w:val="20"/>
          <w:szCs w:val="20"/>
        </w:rPr>
      </w:pPr>
    </w:p>
    <w:p w:rsidR="00E47047" w:rsidRDefault="00E47047" w:rsidP="00E47047">
      <w:pPr>
        <w:bidi w:val="0"/>
        <w:spacing w:before="100" w:beforeAutospacing="1" w:after="0" w:line="240" w:lineRule="auto"/>
        <w:jc w:val="both"/>
        <w:rPr>
          <w:rFonts w:asciiTheme="majorBidi" w:hAnsiTheme="majorBidi" w:cstheme="majorBidi"/>
          <w:b/>
          <w:bCs/>
          <w:i/>
          <w:iCs/>
          <w:sz w:val="20"/>
          <w:szCs w:val="20"/>
        </w:rPr>
      </w:pPr>
    </w:p>
    <w:p w:rsidR="00E47047" w:rsidRDefault="00E47047" w:rsidP="00E47047">
      <w:pPr>
        <w:bidi w:val="0"/>
        <w:spacing w:before="100" w:beforeAutospacing="1" w:after="0" w:line="240" w:lineRule="auto"/>
        <w:jc w:val="both"/>
        <w:rPr>
          <w:rFonts w:asciiTheme="majorBidi" w:hAnsiTheme="majorBidi" w:cstheme="majorBidi"/>
          <w:b/>
          <w:bCs/>
          <w:i/>
          <w:iCs/>
          <w:sz w:val="20"/>
          <w:szCs w:val="20"/>
        </w:rPr>
      </w:pPr>
    </w:p>
    <w:p w:rsidR="00E47047" w:rsidRDefault="00E47047" w:rsidP="00E47047">
      <w:pPr>
        <w:bidi w:val="0"/>
        <w:spacing w:before="100" w:beforeAutospacing="1" w:after="0" w:line="240" w:lineRule="auto"/>
        <w:jc w:val="both"/>
        <w:rPr>
          <w:rFonts w:asciiTheme="majorBidi" w:hAnsiTheme="majorBidi" w:cstheme="majorBidi"/>
          <w:b/>
          <w:bCs/>
          <w:i/>
          <w:iCs/>
          <w:sz w:val="20"/>
          <w:szCs w:val="20"/>
        </w:rPr>
      </w:pPr>
    </w:p>
    <w:p w:rsidR="00E47047" w:rsidRDefault="00E47047" w:rsidP="00E47047">
      <w:pPr>
        <w:bidi w:val="0"/>
        <w:spacing w:before="100" w:beforeAutospacing="1" w:after="0" w:line="240" w:lineRule="auto"/>
        <w:jc w:val="both"/>
        <w:rPr>
          <w:rFonts w:asciiTheme="majorBidi" w:hAnsiTheme="majorBidi" w:cstheme="majorBidi"/>
          <w:b/>
          <w:bCs/>
          <w:i/>
          <w:iCs/>
          <w:sz w:val="20"/>
          <w:szCs w:val="20"/>
        </w:rPr>
      </w:pPr>
    </w:p>
    <w:p w:rsidR="00E47047" w:rsidRDefault="00E47047" w:rsidP="00E47047">
      <w:pPr>
        <w:bidi w:val="0"/>
        <w:spacing w:before="100" w:beforeAutospacing="1" w:after="0" w:line="240" w:lineRule="auto"/>
        <w:jc w:val="both"/>
        <w:rPr>
          <w:rFonts w:asciiTheme="majorBidi" w:hAnsiTheme="majorBidi" w:cstheme="majorBidi"/>
          <w:b/>
          <w:bCs/>
          <w:i/>
          <w:iCs/>
          <w:sz w:val="20"/>
          <w:szCs w:val="20"/>
        </w:rPr>
      </w:pPr>
    </w:p>
    <w:p w:rsidR="00E47047" w:rsidRDefault="00E47047" w:rsidP="00E47047">
      <w:pPr>
        <w:bidi w:val="0"/>
        <w:spacing w:before="100" w:beforeAutospacing="1" w:after="0" w:line="240" w:lineRule="auto"/>
        <w:jc w:val="both"/>
        <w:rPr>
          <w:rFonts w:asciiTheme="majorBidi" w:hAnsiTheme="majorBidi" w:cstheme="majorBidi"/>
          <w:b/>
          <w:bCs/>
          <w:i/>
          <w:iCs/>
          <w:sz w:val="20"/>
          <w:szCs w:val="20"/>
        </w:rPr>
      </w:pPr>
    </w:p>
    <w:p w:rsidR="00E47047" w:rsidRDefault="00E47047" w:rsidP="00E47047">
      <w:pPr>
        <w:bidi w:val="0"/>
        <w:spacing w:before="100" w:beforeAutospacing="1" w:after="0" w:line="240" w:lineRule="auto"/>
        <w:jc w:val="both"/>
        <w:rPr>
          <w:rFonts w:asciiTheme="majorBidi" w:hAnsiTheme="majorBidi" w:cstheme="majorBidi"/>
          <w:b/>
          <w:bCs/>
          <w:i/>
          <w:iCs/>
          <w:sz w:val="20"/>
          <w:szCs w:val="20"/>
        </w:rPr>
      </w:pPr>
    </w:p>
    <w:p w:rsidR="00E47047" w:rsidRDefault="00E47047" w:rsidP="00E47047">
      <w:pPr>
        <w:bidi w:val="0"/>
        <w:spacing w:before="100" w:beforeAutospacing="1" w:after="0" w:line="240" w:lineRule="auto"/>
        <w:jc w:val="both"/>
        <w:rPr>
          <w:rFonts w:asciiTheme="majorBidi" w:hAnsiTheme="majorBidi" w:cstheme="majorBidi"/>
          <w:b/>
          <w:bCs/>
          <w:i/>
          <w:iCs/>
          <w:sz w:val="20"/>
          <w:szCs w:val="20"/>
        </w:rPr>
      </w:pPr>
    </w:p>
    <w:p w:rsidR="00406979" w:rsidRPr="00406979" w:rsidRDefault="00406979" w:rsidP="00E47047">
      <w:pPr>
        <w:bidi w:val="0"/>
        <w:spacing w:before="100" w:beforeAutospacing="1" w:after="0" w:line="240" w:lineRule="auto"/>
        <w:jc w:val="both"/>
        <w:rPr>
          <w:rFonts w:asciiTheme="majorBidi" w:hAnsiTheme="majorBidi" w:cstheme="majorBidi"/>
          <w:i/>
          <w:iCs/>
          <w:sz w:val="20"/>
          <w:szCs w:val="20"/>
        </w:rPr>
      </w:pPr>
      <w:r w:rsidRPr="00406979">
        <w:rPr>
          <w:rFonts w:asciiTheme="majorBidi" w:hAnsiTheme="majorBidi" w:cstheme="majorBidi"/>
          <w:b/>
          <w:bCs/>
          <w:i/>
          <w:iCs/>
          <w:sz w:val="20"/>
          <w:szCs w:val="20"/>
        </w:rPr>
        <w:lastRenderedPageBreak/>
        <w:t xml:space="preserve">Table (10): </w:t>
      </w:r>
      <w:r w:rsidRPr="00406979">
        <w:rPr>
          <w:rFonts w:asciiTheme="majorBidi" w:hAnsiTheme="majorBidi" w:cstheme="majorBidi"/>
          <w:i/>
          <w:iCs/>
          <w:sz w:val="20"/>
          <w:szCs w:val="20"/>
        </w:rPr>
        <w:t>Late postoperative</w:t>
      </w:r>
      <w:r w:rsidRPr="00406979">
        <w:rPr>
          <w:rFonts w:asciiTheme="majorBidi" w:hAnsiTheme="majorBidi" w:cstheme="majorBidi"/>
          <w:b/>
          <w:bCs/>
          <w:i/>
          <w:iCs/>
          <w:sz w:val="20"/>
          <w:szCs w:val="20"/>
        </w:rPr>
        <w:t xml:space="preserve"> </w:t>
      </w:r>
      <w:r w:rsidRPr="00406979">
        <w:rPr>
          <w:rFonts w:asciiTheme="majorBidi" w:hAnsiTheme="majorBidi" w:cstheme="majorBidi"/>
          <w:i/>
          <w:iCs/>
          <w:sz w:val="20"/>
          <w:szCs w:val="20"/>
        </w:rPr>
        <w:t>complications between the two studied groups</w:t>
      </w:r>
    </w:p>
    <w:tbl>
      <w:tblPr>
        <w:tblW w:w="1039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4095"/>
        <w:gridCol w:w="1980"/>
        <w:gridCol w:w="1980"/>
        <w:gridCol w:w="1170"/>
        <w:gridCol w:w="1170"/>
      </w:tblGrid>
      <w:tr w:rsidR="00406979" w:rsidRPr="00406979" w:rsidTr="00406979">
        <w:trPr>
          <w:trHeight w:val="540"/>
          <w:jc w:val="center"/>
        </w:trPr>
        <w:tc>
          <w:tcPr>
            <w:tcW w:w="4095" w:type="dxa"/>
            <w:tcBorders>
              <w:top w:val="thinThickSmallGap" w:sz="24" w:space="0" w:color="auto"/>
            </w:tcBorders>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p>
        </w:tc>
        <w:tc>
          <w:tcPr>
            <w:tcW w:w="1980" w:type="dxa"/>
            <w:tcBorders>
              <w:top w:val="thinThickSmallGap" w:sz="24" w:space="0" w:color="auto"/>
            </w:tcBorders>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Group I</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i/>
                <w:iCs/>
                <w:sz w:val="20"/>
                <w:szCs w:val="20"/>
              </w:rPr>
            </w:pPr>
            <w:r w:rsidRPr="00406979">
              <w:rPr>
                <w:rFonts w:asciiTheme="majorBidi" w:hAnsiTheme="majorBidi" w:cstheme="majorBidi"/>
                <w:i/>
                <w:iCs/>
                <w:sz w:val="20"/>
                <w:szCs w:val="20"/>
              </w:rPr>
              <w:t>(n=20)</w:t>
            </w:r>
          </w:p>
        </w:tc>
        <w:tc>
          <w:tcPr>
            <w:tcW w:w="1980" w:type="dxa"/>
            <w:tcBorders>
              <w:top w:val="thinThickSmallGap" w:sz="24" w:space="0" w:color="auto"/>
            </w:tcBorders>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 xml:space="preserve">Group II </w:t>
            </w:r>
          </w:p>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i/>
                <w:iCs/>
                <w:sz w:val="20"/>
                <w:szCs w:val="20"/>
              </w:rPr>
              <w:t>(n=20)</w:t>
            </w:r>
          </w:p>
        </w:tc>
        <w:tc>
          <w:tcPr>
            <w:tcW w:w="1170" w:type="dxa"/>
            <w:tcBorders>
              <w:top w:val="thinThickSmallGap" w:sz="24" w:space="0" w:color="auto"/>
            </w:tcBorders>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χ</w:t>
            </w:r>
            <w:r w:rsidRPr="00406979">
              <w:rPr>
                <w:rFonts w:asciiTheme="majorBidi" w:hAnsiTheme="majorBidi" w:cstheme="majorBidi"/>
                <w:b/>
                <w:bCs/>
                <w:i/>
                <w:iCs/>
                <w:sz w:val="20"/>
                <w:szCs w:val="20"/>
                <w:vertAlign w:val="superscript"/>
              </w:rPr>
              <w:t>2</w:t>
            </w:r>
          </w:p>
        </w:tc>
        <w:tc>
          <w:tcPr>
            <w:tcW w:w="1170" w:type="dxa"/>
            <w:tcBorders>
              <w:top w:val="thinThickSmallGap" w:sz="24" w:space="0" w:color="auto"/>
            </w:tcBorders>
            <w:shd w:val="clear" w:color="auto" w:fill="B2A1C7" w:themeFill="accent4"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P</w:t>
            </w:r>
          </w:p>
        </w:tc>
      </w:tr>
      <w:tr w:rsidR="00406979" w:rsidRPr="00406979" w:rsidTr="00406979">
        <w:trPr>
          <w:trHeight w:val="576"/>
          <w:jc w:val="center"/>
        </w:trPr>
        <w:tc>
          <w:tcPr>
            <w:tcW w:w="4095" w:type="dxa"/>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Stenosis</w:t>
            </w:r>
          </w:p>
        </w:tc>
        <w:tc>
          <w:tcPr>
            <w:tcW w:w="1980" w:type="dxa"/>
            <w:tcBorders>
              <w:top w:val="single" w:sz="4" w:space="0" w:color="auto"/>
              <w:bottom w:val="single" w:sz="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2 (10%)</w:t>
            </w:r>
          </w:p>
        </w:tc>
        <w:tc>
          <w:tcPr>
            <w:tcW w:w="1980" w:type="dxa"/>
            <w:tcBorders>
              <w:top w:val="single" w:sz="4" w:space="0" w:color="auto"/>
              <w:bottom w:val="single" w:sz="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0</w:t>
            </w:r>
          </w:p>
        </w:tc>
        <w:tc>
          <w:tcPr>
            <w:tcW w:w="117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2.11</w:t>
            </w:r>
          </w:p>
        </w:tc>
        <w:tc>
          <w:tcPr>
            <w:tcW w:w="117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.147</w:t>
            </w:r>
          </w:p>
        </w:tc>
      </w:tr>
      <w:tr w:rsidR="00406979" w:rsidRPr="00406979" w:rsidTr="00406979">
        <w:trPr>
          <w:trHeight w:val="576"/>
          <w:jc w:val="center"/>
        </w:trPr>
        <w:tc>
          <w:tcPr>
            <w:tcW w:w="4095" w:type="dxa"/>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Nausea and vomiting</w:t>
            </w:r>
          </w:p>
        </w:tc>
        <w:tc>
          <w:tcPr>
            <w:tcW w:w="1980" w:type="dxa"/>
            <w:tcBorders>
              <w:top w:val="single" w:sz="4" w:space="0" w:color="auto"/>
              <w:bottom w:val="single" w:sz="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2 (10%)</w:t>
            </w:r>
          </w:p>
        </w:tc>
        <w:tc>
          <w:tcPr>
            <w:tcW w:w="1980" w:type="dxa"/>
            <w:tcBorders>
              <w:top w:val="single" w:sz="4" w:space="0" w:color="auto"/>
              <w:bottom w:val="single" w:sz="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0</w:t>
            </w:r>
          </w:p>
        </w:tc>
        <w:tc>
          <w:tcPr>
            <w:tcW w:w="117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Cs/>
                <w:sz w:val="20"/>
                <w:szCs w:val="20"/>
              </w:rPr>
            </w:pPr>
            <w:r w:rsidRPr="00406979">
              <w:rPr>
                <w:rFonts w:asciiTheme="majorBidi" w:hAnsiTheme="majorBidi" w:cstheme="majorBidi"/>
                <w:bCs/>
                <w:sz w:val="20"/>
                <w:szCs w:val="20"/>
              </w:rPr>
              <w:t>2.11</w:t>
            </w:r>
          </w:p>
        </w:tc>
        <w:tc>
          <w:tcPr>
            <w:tcW w:w="117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Cs/>
                <w:sz w:val="20"/>
                <w:szCs w:val="20"/>
              </w:rPr>
            </w:pPr>
            <w:r w:rsidRPr="00406979">
              <w:rPr>
                <w:rFonts w:asciiTheme="majorBidi" w:hAnsiTheme="majorBidi" w:cstheme="majorBidi"/>
                <w:bCs/>
                <w:sz w:val="20"/>
                <w:szCs w:val="20"/>
              </w:rPr>
              <w:t>.147</w:t>
            </w:r>
          </w:p>
        </w:tc>
      </w:tr>
      <w:tr w:rsidR="00406979" w:rsidRPr="00406979" w:rsidTr="00406979">
        <w:trPr>
          <w:trHeight w:val="576"/>
          <w:jc w:val="center"/>
        </w:trPr>
        <w:tc>
          <w:tcPr>
            <w:tcW w:w="4095" w:type="dxa"/>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Hypovitaminosis</w:t>
            </w:r>
          </w:p>
        </w:tc>
        <w:tc>
          <w:tcPr>
            <w:tcW w:w="1980" w:type="dxa"/>
            <w:tcBorders>
              <w:top w:val="single" w:sz="4" w:space="0" w:color="auto"/>
              <w:bottom w:val="single" w:sz="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2 (10%)</w:t>
            </w:r>
          </w:p>
        </w:tc>
        <w:tc>
          <w:tcPr>
            <w:tcW w:w="1980" w:type="dxa"/>
            <w:tcBorders>
              <w:top w:val="single" w:sz="4" w:space="0" w:color="auto"/>
              <w:bottom w:val="single" w:sz="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4 (20%)</w:t>
            </w:r>
          </w:p>
        </w:tc>
        <w:tc>
          <w:tcPr>
            <w:tcW w:w="117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.784</w:t>
            </w:r>
          </w:p>
        </w:tc>
        <w:tc>
          <w:tcPr>
            <w:tcW w:w="117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.376</w:t>
            </w:r>
          </w:p>
        </w:tc>
      </w:tr>
      <w:tr w:rsidR="00406979" w:rsidRPr="00406979" w:rsidTr="00406979">
        <w:trPr>
          <w:trHeight w:val="576"/>
          <w:jc w:val="center"/>
        </w:trPr>
        <w:tc>
          <w:tcPr>
            <w:tcW w:w="4095" w:type="dxa"/>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Hypoalbuminemia</w:t>
            </w:r>
          </w:p>
        </w:tc>
        <w:tc>
          <w:tcPr>
            <w:tcW w:w="1980" w:type="dxa"/>
            <w:tcBorders>
              <w:top w:val="single" w:sz="4" w:space="0" w:color="auto"/>
              <w:bottom w:val="single" w:sz="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3 (15%)</w:t>
            </w:r>
          </w:p>
        </w:tc>
        <w:tc>
          <w:tcPr>
            <w:tcW w:w="1980" w:type="dxa"/>
            <w:tcBorders>
              <w:top w:val="single" w:sz="4" w:space="0" w:color="auto"/>
              <w:bottom w:val="single" w:sz="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4 (20%)</w:t>
            </w:r>
          </w:p>
        </w:tc>
        <w:tc>
          <w:tcPr>
            <w:tcW w:w="117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.173</w:t>
            </w:r>
          </w:p>
        </w:tc>
        <w:tc>
          <w:tcPr>
            <w:tcW w:w="1170" w:type="dxa"/>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.677</w:t>
            </w:r>
          </w:p>
        </w:tc>
      </w:tr>
      <w:tr w:rsidR="00406979" w:rsidRPr="00406979" w:rsidTr="00406979">
        <w:trPr>
          <w:trHeight w:val="576"/>
          <w:jc w:val="center"/>
        </w:trPr>
        <w:tc>
          <w:tcPr>
            <w:tcW w:w="4095" w:type="dxa"/>
            <w:tcBorders>
              <w:bottom w:val="thickThinSmallGap" w:sz="24" w:space="0" w:color="auto"/>
            </w:tcBorders>
            <w:shd w:val="clear" w:color="auto" w:fill="FABF8F" w:themeFill="accent6" w:themeFillTint="99"/>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b/>
                <w:bCs/>
                <w:i/>
                <w:iCs/>
                <w:sz w:val="20"/>
                <w:szCs w:val="20"/>
              </w:rPr>
            </w:pPr>
            <w:r w:rsidRPr="00406979">
              <w:rPr>
                <w:rFonts w:asciiTheme="majorBidi" w:hAnsiTheme="majorBidi" w:cstheme="majorBidi"/>
                <w:b/>
                <w:bCs/>
                <w:i/>
                <w:iCs/>
                <w:sz w:val="20"/>
                <w:szCs w:val="20"/>
              </w:rPr>
              <w:t>Reflux</w:t>
            </w:r>
          </w:p>
        </w:tc>
        <w:tc>
          <w:tcPr>
            <w:tcW w:w="1980" w:type="dxa"/>
            <w:tcBorders>
              <w:top w:val="single" w:sz="4" w:space="0" w:color="auto"/>
              <w:bottom w:val="thickThinSmallGap" w:sz="2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3 (15%)</w:t>
            </w:r>
          </w:p>
        </w:tc>
        <w:tc>
          <w:tcPr>
            <w:tcW w:w="1980" w:type="dxa"/>
            <w:tcBorders>
              <w:top w:val="single" w:sz="4" w:space="0" w:color="auto"/>
              <w:bottom w:val="thickThinSmallGap" w:sz="2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 (5%)</w:t>
            </w:r>
          </w:p>
        </w:tc>
        <w:tc>
          <w:tcPr>
            <w:tcW w:w="1170" w:type="dxa"/>
            <w:tcBorders>
              <w:bottom w:val="thickThinSmallGap" w:sz="2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1.11</w:t>
            </w:r>
          </w:p>
        </w:tc>
        <w:tc>
          <w:tcPr>
            <w:tcW w:w="1170" w:type="dxa"/>
            <w:tcBorders>
              <w:bottom w:val="thickThinSmallGap" w:sz="24" w:space="0" w:color="auto"/>
            </w:tcBorders>
            <w:shd w:val="clear" w:color="auto" w:fill="FFFFFF"/>
            <w:vAlign w:val="center"/>
          </w:tcPr>
          <w:p w:rsidR="00406979" w:rsidRPr="00406979" w:rsidRDefault="00406979" w:rsidP="00406979">
            <w:pPr>
              <w:autoSpaceDE w:val="0"/>
              <w:autoSpaceDN w:val="0"/>
              <w:bidi w:val="0"/>
              <w:adjustRightInd w:val="0"/>
              <w:spacing w:before="60" w:after="60" w:line="240" w:lineRule="auto"/>
              <w:jc w:val="center"/>
              <w:rPr>
                <w:rFonts w:asciiTheme="majorBidi" w:hAnsiTheme="majorBidi" w:cstheme="majorBidi"/>
                <w:sz w:val="20"/>
                <w:szCs w:val="20"/>
              </w:rPr>
            </w:pPr>
            <w:r w:rsidRPr="00406979">
              <w:rPr>
                <w:rFonts w:asciiTheme="majorBidi" w:hAnsiTheme="majorBidi" w:cstheme="majorBidi"/>
                <w:sz w:val="20"/>
                <w:szCs w:val="20"/>
              </w:rPr>
              <w:t>.293</w:t>
            </w:r>
          </w:p>
        </w:tc>
      </w:tr>
    </w:tbl>
    <w:p w:rsidR="00406979" w:rsidRPr="00406979" w:rsidRDefault="00406979" w:rsidP="00406979">
      <w:pPr>
        <w:bidi w:val="0"/>
        <w:spacing w:before="100" w:beforeAutospacing="1" w:after="100" w:afterAutospacing="1" w:line="240" w:lineRule="auto"/>
        <w:jc w:val="lowKashida"/>
        <w:rPr>
          <w:rFonts w:asciiTheme="majorBidi" w:hAnsiTheme="majorBidi" w:cstheme="majorBidi"/>
          <w:i/>
          <w:iCs/>
          <w:sz w:val="20"/>
          <w:szCs w:val="20"/>
          <w:lang w:bidi="ar-EG"/>
        </w:rPr>
      </w:pPr>
      <w:bookmarkStart w:id="0" w:name="_GoBack"/>
      <w:r w:rsidRPr="00406979">
        <w:rPr>
          <w:rFonts w:asciiTheme="majorBidi" w:hAnsiTheme="majorBidi" w:cstheme="majorBidi"/>
          <w:i/>
          <w:iCs/>
          <w:sz w:val="20"/>
          <w:szCs w:val="20"/>
          <w:lang w:bidi="ar-EG"/>
        </w:rPr>
        <w:t xml:space="preserve">This </w:t>
      </w:r>
      <w:bookmarkEnd w:id="0"/>
      <w:r w:rsidRPr="00406979">
        <w:rPr>
          <w:rFonts w:asciiTheme="majorBidi" w:hAnsiTheme="majorBidi" w:cstheme="majorBidi"/>
          <w:i/>
          <w:iCs/>
          <w:sz w:val="20"/>
          <w:szCs w:val="20"/>
          <w:lang w:bidi="ar-EG"/>
        </w:rPr>
        <w:t>table shows that there is no significant difference between the two studied groups regarding late complications.</w:t>
      </w:r>
    </w:p>
    <w:p w:rsidR="00406979" w:rsidRDefault="00406979" w:rsidP="00406979">
      <w:pPr>
        <w:bidi w:val="0"/>
        <w:spacing w:after="0" w:line="240" w:lineRule="auto"/>
        <w:jc w:val="both"/>
        <w:rPr>
          <w:rFonts w:asciiTheme="majorBidi" w:hAnsiTheme="majorBidi" w:cstheme="majorBidi"/>
          <w:b/>
          <w:sz w:val="20"/>
          <w:szCs w:val="20"/>
        </w:rPr>
        <w:sectPr w:rsidR="00406979" w:rsidSect="000F34FC">
          <w:type w:val="continuous"/>
          <w:pgSz w:w="11906" w:h="16838" w:code="9"/>
          <w:pgMar w:top="1440" w:right="1800" w:bottom="1440" w:left="1800" w:header="706" w:footer="706" w:gutter="0"/>
          <w:cols w:space="720"/>
        </w:sectPr>
      </w:pPr>
    </w:p>
    <w:p w:rsidR="009854D4" w:rsidRPr="005254AB" w:rsidRDefault="00737F29" w:rsidP="00586A27">
      <w:pPr>
        <w:bidi w:val="0"/>
        <w:spacing w:after="0" w:line="240" w:lineRule="auto"/>
        <w:jc w:val="both"/>
        <w:rPr>
          <w:rFonts w:asciiTheme="majorBidi" w:hAnsiTheme="majorBidi" w:cstheme="majorBidi"/>
          <w:b/>
          <w:sz w:val="20"/>
          <w:szCs w:val="20"/>
        </w:rPr>
      </w:pPr>
      <w:r w:rsidRPr="005254AB">
        <w:rPr>
          <w:rFonts w:asciiTheme="majorBidi" w:hAnsiTheme="majorBidi" w:cstheme="majorBidi"/>
          <w:b/>
          <w:sz w:val="20"/>
          <w:szCs w:val="20"/>
        </w:rPr>
        <w:lastRenderedPageBreak/>
        <w:t>4</w:t>
      </w:r>
      <w:r w:rsidR="00586A27" w:rsidRPr="005254AB">
        <w:rPr>
          <w:rFonts w:asciiTheme="majorBidi" w:hAnsiTheme="majorBidi" w:cstheme="majorBidi"/>
          <w:b/>
          <w:sz w:val="20"/>
          <w:szCs w:val="20"/>
        </w:rPr>
        <w:t>.</w:t>
      </w:r>
      <w:r w:rsidR="005C6C25" w:rsidRPr="005254AB">
        <w:rPr>
          <w:rFonts w:asciiTheme="majorBidi" w:hAnsiTheme="majorBidi" w:cstheme="majorBidi"/>
          <w:b/>
          <w:sz w:val="20"/>
          <w:szCs w:val="20"/>
        </w:rPr>
        <w:t>Discussion</w:t>
      </w:r>
    </w:p>
    <w:p w:rsidR="00406979" w:rsidRPr="00406979" w:rsidRDefault="00406979" w:rsidP="00406979">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Regarding operative data we found that there was no significant difference between the two studied groups as regard operative time and hospital stay. SASI take no significantly longer operative time but associate with no significantly shorter hospital stay.</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However, </w:t>
      </w:r>
      <w:r w:rsidRPr="00406979">
        <w:rPr>
          <w:rFonts w:asciiTheme="majorBidi" w:hAnsiTheme="majorBidi" w:cstheme="majorBidi"/>
          <w:b/>
          <w:bCs/>
          <w:sz w:val="20"/>
          <w:szCs w:val="20"/>
          <w:lang w:bidi="en-US"/>
        </w:rPr>
        <w:t xml:space="preserve">Emile et al., </w:t>
      </w:r>
      <w:r w:rsidR="00291F91">
        <w:rPr>
          <w:rFonts w:asciiTheme="majorBidi" w:hAnsiTheme="majorBidi" w:cstheme="majorBidi"/>
          <w:b/>
          <w:bCs/>
          <w:sz w:val="20"/>
          <w:szCs w:val="20"/>
          <w:lang w:bidi="en-US"/>
        </w:rPr>
        <w:t>(5)</w:t>
      </w:r>
      <w:r w:rsidRPr="00406979">
        <w:rPr>
          <w:rFonts w:asciiTheme="majorBidi" w:hAnsiTheme="majorBidi" w:cstheme="majorBidi"/>
          <w:b/>
          <w:bCs/>
          <w:sz w:val="20"/>
          <w:szCs w:val="20"/>
          <w:lang w:bidi="en-US"/>
        </w:rPr>
        <w:t xml:space="preserve"> </w:t>
      </w:r>
      <w:r w:rsidRPr="00406979">
        <w:rPr>
          <w:rFonts w:asciiTheme="majorBidi" w:hAnsiTheme="majorBidi" w:cstheme="majorBidi"/>
          <w:bCs/>
          <w:sz w:val="20"/>
          <w:szCs w:val="20"/>
          <w:lang w:bidi="en-US"/>
        </w:rPr>
        <w:t>reported that SASI bypass required longer operation time than SG (108.7 Vs 92.8 min, p &lt; 0.0001). This disagreement may be due to the difference in sample size and inclusion criteria.</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The study by </w:t>
      </w:r>
      <w:proofErr w:type="spellStart"/>
      <w:r w:rsidRPr="00406979">
        <w:rPr>
          <w:rFonts w:asciiTheme="majorBidi" w:hAnsiTheme="majorBidi" w:cstheme="majorBidi"/>
          <w:b/>
          <w:bCs/>
          <w:sz w:val="20"/>
          <w:szCs w:val="20"/>
          <w:lang w:bidi="en-US"/>
        </w:rPr>
        <w:t>Abdalaziz</w:t>
      </w:r>
      <w:proofErr w:type="spellEnd"/>
      <w:r w:rsidRPr="00406979">
        <w:rPr>
          <w:rFonts w:asciiTheme="majorBidi" w:hAnsiTheme="majorBidi" w:cstheme="majorBidi"/>
          <w:b/>
          <w:bCs/>
          <w:sz w:val="20"/>
          <w:szCs w:val="20"/>
          <w:lang w:bidi="en-US"/>
        </w:rPr>
        <w:t xml:space="preserve"> et al., </w:t>
      </w:r>
      <w:r w:rsidR="00291F91">
        <w:rPr>
          <w:rFonts w:asciiTheme="majorBidi" w:hAnsiTheme="majorBidi" w:cstheme="majorBidi"/>
          <w:b/>
          <w:bCs/>
          <w:sz w:val="20"/>
          <w:szCs w:val="20"/>
          <w:lang w:bidi="en-US"/>
        </w:rPr>
        <w:t>(6)</w:t>
      </w:r>
      <w:r w:rsidRPr="00406979">
        <w:rPr>
          <w:rFonts w:asciiTheme="majorBidi" w:hAnsiTheme="majorBidi" w:cstheme="majorBidi"/>
          <w:b/>
          <w:bCs/>
          <w:sz w:val="20"/>
          <w:szCs w:val="20"/>
          <w:lang w:bidi="en-US"/>
        </w:rPr>
        <w:t xml:space="preserve"> </w:t>
      </w:r>
      <w:r w:rsidRPr="00406979">
        <w:rPr>
          <w:rFonts w:asciiTheme="majorBidi" w:hAnsiTheme="majorBidi" w:cstheme="majorBidi"/>
          <w:bCs/>
          <w:sz w:val="20"/>
          <w:szCs w:val="20"/>
          <w:lang w:bidi="en-US"/>
        </w:rPr>
        <w:t>revealed that SASI surgery time ranged from 113 to 159 minutes, with a mean of 139.79 ±23.12. The hospital stay length ranged from 2 to 4 days, with a mean of 2.71± 0.59.</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Also, </w:t>
      </w:r>
      <w:proofErr w:type="spellStart"/>
      <w:r w:rsidRPr="00406979">
        <w:rPr>
          <w:rFonts w:asciiTheme="majorBidi" w:hAnsiTheme="majorBidi" w:cstheme="majorBidi"/>
          <w:b/>
          <w:bCs/>
          <w:sz w:val="20"/>
          <w:szCs w:val="20"/>
          <w:lang w:bidi="en-US"/>
        </w:rPr>
        <w:t>Elbanna</w:t>
      </w:r>
      <w:proofErr w:type="spellEnd"/>
      <w:r w:rsidRPr="00406979">
        <w:rPr>
          <w:rFonts w:asciiTheme="majorBidi" w:hAnsiTheme="majorBidi" w:cstheme="majorBidi"/>
          <w:bCs/>
          <w:sz w:val="20"/>
          <w:szCs w:val="20"/>
          <w:lang w:bidi="en-US"/>
        </w:rPr>
        <w:t xml:space="preserve"> </w:t>
      </w:r>
      <w:r w:rsidRPr="00406979">
        <w:rPr>
          <w:rFonts w:asciiTheme="majorBidi" w:hAnsiTheme="majorBidi" w:cstheme="majorBidi"/>
          <w:b/>
          <w:bCs/>
          <w:sz w:val="20"/>
          <w:szCs w:val="20"/>
          <w:lang w:bidi="en-US"/>
        </w:rPr>
        <w:t xml:space="preserve">et al., </w:t>
      </w:r>
      <w:r w:rsidR="00291F91">
        <w:rPr>
          <w:rFonts w:asciiTheme="majorBidi" w:hAnsiTheme="majorBidi" w:cstheme="majorBidi"/>
          <w:b/>
          <w:bCs/>
          <w:sz w:val="20"/>
          <w:szCs w:val="20"/>
          <w:lang w:bidi="en-US"/>
        </w:rPr>
        <w:t>(7)</w:t>
      </w:r>
      <w:r w:rsidRPr="00406979">
        <w:rPr>
          <w:rFonts w:asciiTheme="majorBidi" w:hAnsiTheme="majorBidi" w:cstheme="majorBidi"/>
          <w:bCs/>
          <w:sz w:val="20"/>
          <w:szCs w:val="20"/>
          <w:lang w:bidi="en-US"/>
        </w:rPr>
        <w:t xml:space="preserve"> reported that in LSG surgery the mean operative time was 120±25.3 minutes (range, 90- 180) while the mean postoperative hospital stay was 3.2±1.5 days (range, 3-11days).</w:t>
      </w:r>
    </w:p>
    <w:p w:rsidR="00406979" w:rsidRPr="00406979" w:rsidRDefault="00406979" w:rsidP="00406979">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So, both our results and literature approved the superiority of SASI in terms of hospital stay period but it was associated with longer operative time.</w:t>
      </w:r>
    </w:p>
    <w:p w:rsidR="00406979" w:rsidRPr="00406979" w:rsidRDefault="00406979" w:rsidP="00406979">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As regard Preoperative laboratory parameters between the two studied groups, our results showed that there was no significant difference between the two studied groups regarding preoperative lipid and glycemic profiles.</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This was supported by </w:t>
      </w:r>
      <w:r w:rsidR="00291F91" w:rsidRPr="00406979">
        <w:rPr>
          <w:rFonts w:asciiTheme="majorBidi" w:hAnsiTheme="majorBidi" w:cstheme="majorBidi"/>
          <w:b/>
          <w:bCs/>
          <w:sz w:val="20"/>
          <w:szCs w:val="20"/>
          <w:lang w:bidi="en-US"/>
        </w:rPr>
        <w:t xml:space="preserve">Emile et al., </w:t>
      </w:r>
      <w:r w:rsidR="00291F91">
        <w:rPr>
          <w:rFonts w:asciiTheme="majorBidi" w:hAnsiTheme="majorBidi" w:cstheme="majorBidi"/>
          <w:b/>
          <w:bCs/>
          <w:sz w:val="20"/>
          <w:szCs w:val="20"/>
          <w:lang w:bidi="en-US"/>
        </w:rPr>
        <w:t>(5)</w:t>
      </w:r>
      <w:r w:rsidR="00291F91">
        <w:rPr>
          <w:rFonts w:asciiTheme="majorBidi" w:hAnsiTheme="majorBidi" w:cstheme="majorBidi"/>
          <w:bCs/>
          <w:sz w:val="20"/>
          <w:szCs w:val="20"/>
          <w:lang w:bidi="en-US"/>
        </w:rPr>
        <w:t xml:space="preserve"> </w:t>
      </w:r>
      <w:r w:rsidRPr="00406979">
        <w:rPr>
          <w:rFonts w:asciiTheme="majorBidi" w:hAnsiTheme="majorBidi" w:cstheme="majorBidi"/>
          <w:bCs/>
          <w:sz w:val="20"/>
          <w:szCs w:val="20"/>
          <w:lang w:bidi="en-US"/>
        </w:rPr>
        <w:t>who revealed that the incidence of diabetes mellitus and Dyslipidemia were comparable between groups.</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In agreement with our results </w:t>
      </w:r>
      <w:r w:rsidRPr="00406979">
        <w:rPr>
          <w:rFonts w:asciiTheme="majorBidi" w:hAnsiTheme="majorBidi" w:cstheme="majorBidi"/>
          <w:b/>
          <w:bCs/>
          <w:sz w:val="20"/>
          <w:szCs w:val="20"/>
          <w:lang w:bidi="en-US"/>
        </w:rPr>
        <w:t xml:space="preserve">Wu et al., </w:t>
      </w:r>
      <w:r w:rsidR="00291F91">
        <w:rPr>
          <w:rFonts w:asciiTheme="majorBidi" w:hAnsiTheme="majorBidi" w:cstheme="majorBidi"/>
          <w:b/>
          <w:bCs/>
          <w:sz w:val="20"/>
          <w:szCs w:val="20"/>
          <w:lang w:bidi="en-US"/>
        </w:rPr>
        <w:t>(8)</w:t>
      </w:r>
      <w:r w:rsidRPr="00406979">
        <w:rPr>
          <w:rFonts w:asciiTheme="majorBidi" w:hAnsiTheme="majorBidi" w:cstheme="majorBidi"/>
          <w:b/>
          <w:bCs/>
          <w:sz w:val="20"/>
          <w:szCs w:val="20"/>
          <w:lang w:bidi="en-US"/>
        </w:rPr>
        <w:t xml:space="preserve"> </w:t>
      </w:r>
      <w:r w:rsidRPr="00406979">
        <w:rPr>
          <w:rFonts w:asciiTheme="majorBidi" w:hAnsiTheme="majorBidi" w:cstheme="majorBidi"/>
          <w:bCs/>
          <w:sz w:val="20"/>
          <w:szCs w:val="20"/>
          <w:lang w:bidi="en-US"/>
        </w:rPr>
        <w:t xml:space="preserve">reported that there was no significant </w:t>
      </w:r>
      <w:r w:rsidRPr="00406979">
        <w:rPr>
          <w:rFonts w:asciiTheme="majorBidi" w:hAnsiTheme="majorBidi" w:cstheme="majorBidi"/>
          <w:bCs/>
          <w:sz w:val="20"/>
          <w:szCs w:val="20"/>
          <w:lang w:bidi="en-US"/>
        </w:rPr>
        <w:lastRenderedPageBreak/>
        <w:t>difference between the two studied groups regarding preoperative glycemic profiles.</w:t>
      </w:r>
    </w:p>
    <w:p w:rsidR="00406979" w:rsidRPr="00406979" w:rsidRDefault="00406979" w:rsidP="00406979">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As regard 3-months postoperative laboratory parameters between the two studied groups, we found that there was no significant difference between the two studied groups regarding 3-months postoperative lipid and glycemic profiles.</w:t>
      </w:r>
    </w:p>
    <w:p w:rsidR="00406979" w:rsidRPr="00406979" w:rsidRDefault="00406979" w:rsidP="00406979">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At 6-months postoperatively, the comparison of laboratory parameters between the two studied groups showed that There is a significant difference between the two studied groups regarding TG, LDL, FBS, and HbA1c. The results indicated that SASI surgery was associated with better improvement in lipid and glycemic profiles.</w:t>
      </w:r>
    </w:p>
    <w:p w:rsidR="00406979" w:rsidRPr="00406979" w:rsidRDefault="00406979" w:rsidP="00406979">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Also, at 12 At 6-months postoperatively, the comparison of laboratory parameters between the two studied groups showed that There is a significant difference between the two studied groups regarding TC, TG, LDL, HDL, FBS, and HbA1c. The results indicated that SASI surgery was associated with better improvement in lipid and glycemic profiles.</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Our results were supported by </w:t>
      </w:r>
      <w:r w:rsidR="00291F91" w:rsidRPr="00406979">
        <w:rPr>
          <w:rFonts w:asciiTheme="majorBidi" w:hAnsiTheme="majorBidi" w:cstheme="majorBidi"/>
          <w:b/>
          <w:bCs/>
          <w:sz w:val="20"/>
          <w:szCs w:val="20"/>
          <w:lang w:bidi="en-US"/>
        </w:rPr>
        <w:t xml:space="preserve">Emile et al., </w:t>
      </w:r>
      <w:r w:rsidR="00291F91">
        <w:rPr>
          <w:rFonts w:asciiTheme="majorBidi" w:hAnsiTheme="majorBidi" w:cstheme="majorBidi"/>
          <w:b/>
          <w:bCs/>
          <w:sz w:val="20"/>
          <w:szCs w:val="20"/>
          <w:lang w:bidi="en-US"/>
        </w:rPr>
        <w:t>(5)</w:t>
      </w:r>
      <w:r w:rsidR="00291F91">
        <w:rPr>
          <w:rFonts w:asciiTheme="majorBidi" w:hAnsiTheme="majorBidi" w:cstheme="majorBidi"/>
          <w:bCs/>
          <w:sz w:val="20"/>
          <w:szCs w:val="20"/>
          <w:lang w:bidi="en-US"/>
        </w:rPr>
        <w:t xml:space="preserve"> </w:t>
      </w:r>
      <w:r w:rsidRPr="00406979">
        <w:rPr>
          <w:rFonts w:asciiTheme="majorBidi" w:hAnsiTheme="majorBidi" w:cstheme="majorBidi"/>
          <w:bCs/>
          <w:sz w:val="20"/>
          <w:szCs w:val="20"/>
          <w:lang w:bidi="en-US"/>
        </w:rPr>
        <w:t>who found that at 12 months postoperatively SASI bypass achieved significantly higher improvement in T2DM and GERD than SG (95.8% Vs 70% and 85.7% Vs 18.2%, respectively). The improvement in dyslipidemia was non significantly higher in SASI group.</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Also, </w:t>
      </w:r>
      <w:proofErr w:type="spellStart"/>
      <w:r w:rsidRPr="00406979">
        <w:rPr>
          <w:rFonts w:asciiTheme="majorBidi" w:hAnsiTheme="majorBidi" w:cstheme="majorBidi"/>
          <w:b/>
          <w:bCs/>
          <w:sz w:val="20"/>
          <w:szCs w:val="20"/>
          <w:lang w:bidi="en-US"/>
        </w:rPr>
        <w:t>Mahdy</w:t>
      </w:r>
      <w:proofErr w:type="spellEnd"/>
      <w:r w:rsidRPr="00406979">
        <w:rPr>
          <w:rFonts w:asciiTheme="majorBidi" w:hAnsiTheme="majorBidi" w:cstheme="majorBidi"/>
          <w:b/>
          <w:bCs/>
          <w:sz w:val="20"/>
          <w:szCs w:val="20"/>
          <w:lang w:bidi="en-US"/>
        </w:rPr>
        <w:t xml:space="preserve"> et al., </w:t>
      </w:r>
      <w:r w:rsidR="00291F91">
        <w:rPr>
          <w:rFonts w:asciiTheme="majorBidi" w:hAnsiTheme="majorBidi" w:cstheme="majorBidi"/>
          <w:b/>
          <w:bCs/>
          <w:sz w:val="20"/>
          <w:szCs w:val="20"/>
          <w:lang w:bidi="en-US"/>
        </w:rPr>
        <w:t>(9)</w:t>
      </w:r>
      <w:r w:rsidRPr="00406979">
        <w:rPr>
          <w:rFonts w:asciiTheme="majorBidi" w:hAnsiTheme="majorBidi" w:cstheme="majorBidi"/>
          <w:b/>
          <w:bCs/>
          <w:sz w:val="20"/>
          <w:szCs w:val="20"/>
          <w:lang w:bidi="en-US"/>
        </w:rPr>
        <w:t xml:space="preserve"> </w:t>
      </w:r>
      <w:r w:rsidRPr="00406979">
        <w:rPr>
          <w:rFonts w:asciiTheme="majorBidi" w:hAnsiTheme="majorBidi" w:cstheme="majorBidi"/>
          <w:bCs/>
          <w:sz w:val="20"/>
          <w:szCs w:val="20"/>
          <w:lang w:bidi="en-US"/>
        </w:rPr>
        <w:t xml:space="preserve">reported that at 12 months postoperatively, SASI bypass was followed by a significantly higher rate of remission or improvement in T2DM compared to SG and OAGB (97.7% vs 71.4% vs 86.7%; p = 0.04). The three procedures were </w:t>
      </w:r>
      <w:r w:rsidRPr="00406979">
        <w:rPr>
          <w:rFonts w:asciiTheme="majorBidi" w:hAnsiTheme="majorBidi" w:cstheme="majorBidi"/>
          <w:bCs/>
          <w:sz w:val="20"/>
          <w:szCs w:val="20"/>
          <w:lang w:bidi="en-US"/>
        </w:rPr>
        <w:lastRenderedPageBreak/>
        <w:t>associated with similar improvement in hypertension (p = 0.35), hyperlipidemia (p = 0.6), sleep apnea (p = 0.99), and GERD (p = 0.72).</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As well, in agreement with our results</w:t>
      </w:r>
      <w:r w:rsidRPr="00406979">
        <w:rPr>
          <w:rFonts w:asciiTheme="majorBidi" w:hAnsiTheme="majorBidi" w:cstheme="majorBidi"/>
          <w:b/>
          <w:bCs/>
          <w:sz w:val="20"/>
          <w:szCs w:val="20"/>
          <w:lang w:bidi="en-US"/>
        </w:rPr>
        <w:t xml:space="preserve"> </w:t>
      </w:r>
      <w:r w:rsidR="00291F91" w:rsidRPr="00406979">
        <w:rPr>
          <w:rFonts w:asciiTheme="majorBidi" w:hAnsiTheme="majorBidi" w:cstheme="majorBidi"/>
          <w:b/>
          <w:bCs/>
          <w:sz w:val="20"/>
          <w:szCs w:val="20"/>
          <w:lang w:bidi="en-US"/>
        </w:rPr>
        <w:t xml:space="preserve">Wu et al., </w:t>
      </w:r>
      <w:r w:rsidR="00291F91">
        <w:rPr>
          <w:rFonts w:asciiTheme="majorBidi" w:hAnsiTheme="majorBidi" w:cstheme="majorBidi"/>
          <w:b/>
          <w:bCs/>
          <w:sz w:val="20"/>
          <w:szCs w:val="20"/>
          <w:lang w:bidi="en-US"/>
        </w:rPr>
        <w:t>(8)</w:t>
      </w:r>
      <w:r w:rsidR="00291F91" w:rsidRPr="00406979">
        <w:rPr>
          <w:rFonts w:asciiTheme="majorBidi" w:hAnsiTheme="majorBidi" w:cstheme="majorBidi"/>
          <w:b/>
          <w:bCs/>
          <w:sz w:val="20"/>
          <w:szCs w:val="20"/>
          <w:lang w:bidi="en-US"/>
        </w:rPr>
        <w:t xml:space="preserve"> </w:t>
      </w:r>
      <w:r w:rsidR="00291F91">
        <w:rPr>
          <w:rFonts w:asciiTheme="majorBidi" w:hAnsiTheme="majorBidi" w:cstheme="majorBidi"/>
          <w:bCs/>
          <w:sz w:val="20"/>
          <w:szCs w:val="20"/>
          <w:lang w:bidi="en-US"/>
        </w:rPr>
        <w:t xml:space="preserve"> </w:t>
      </w:r>
      <w:r w:rsidRPr="00406979">
        <w:rPr>
          <w:rFonts w:asciiTheme="majorBidi" w:hAnsiTheme="majorBidi" w:cstheme="majorBidi"/>
          <w:bCs/>
          <w:sz w:val="20"/>
          <w:szCs w:val="20"/>
          <w:lang w:bidi="en-US"/>
        </w:rPr>
        <w:t>reported that After surgery, FBG levels were significantly lower in the SADI-S, SASI, and SG groups than in the SHAM group (p &lt; 0.05). The SADI-S group showed significantly lower FBG levels than the SG group at 4, 5, and 6 months (p &lt; 0.05).</w:t>
      </w:r>
    </w:p>
    <w:p w:rsidR="00406979" w:rsidRPr="00406979" w:rsidRDefault="00406979" w:rsidP="00406979">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In LSG group, comparison of preoperative and postoperative laboratory parameters, showed that there a significant decrease from preoperative to 12 months postoperative regarding TC, TG, LDL, FBS, and HbA1c.</w:t>
      </w:r>
    </w:p>
    <w:p w:rsidR="00406979" w:rsidRPr="00406979" w:rsidRDefault="00406979" w:rsidP="00406979">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In SASI group, comparison of preoperative and postoperative laboratory parameters, showed that there a significant decrease from preoperative to 12 months postoperative regarding TC, TG, LDL, FBS, and HbA1c. While there a significant increase from preoperative to postoperative follow up time intervals regarding HDL.</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In agreement with our results </w:t>
      </w:r>
      <w:r w:rsidR="00291F91" w:rsidRPr="00406979">
        <w:rPr>
          <w:rFonts w:asciiTheme="majorBidi" w:hAnsiTheme="majorBidi" w:cstheme="majorBidi"/>
          <w:b/>
          <w:bCs/>
          <w:sz w:val="20"/>
          <w:szCs w:val="20"/>
          <w:lang w:bidi="en-US"/>
        </w:rPr>
        <w:t xml:space="preserve">Wu et al., </w:t>
      </w:r>
      <w:r w:rsidR="00291F91">
        <w:rPr>
          <w:rFonts w:asciiTheme="majorBidi" w:hAnsiTheme="majorBidi" w:cstheme="majorBidi"/>
          <w:b/>
          <w:bCs/>
          <w:sz w:val="20"/>
          <w:szCs w:val="20"/>
          <w:lang w:bidi="en-US"/>
        </w:rPr>
        <w:t>(8)</w:t>
      </w:r>
      <w:r w:rsidR="00291F91" w:rsidRPr="00406979">
        <w:rPr>
          <w:rFonts w:asciiTheme="majorBidi" w:hAnsiTheme="majorBidi" w:cstheme="majorBidi"/>
          <w:b/>
          <w:bCs/>
          <w:sz w:val="20"/>
          <w:szCs w:val="20"/>
          <w:lang w:bidi="en-US"/>
        </w:rPr>
        <w:t xml:space="preserve"> </w:t>
      </w:r>
      <w:r w:rsidRPr="00406979">
        <w:rPr>
          <w:rFonts w:asciiTheme="majorBidi" w:hAnsiTheme="majorBidi" w:cstheme="majorBidi"/>
          <w:bCs/>
          <w:sz w:val="20"/>
          <w:szCs w:val="20"/>
          <w:lang w:bidi="en-US"/>
        </w:rPr>
        <w:t>reported that both groups SG and SASI showed that there was significant improvement in glucose control postoperatively (p&lt;0.05).</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Our results were agreed with </w:t>
      </w:r>
      <w:r w:rsidR="00291F91" w:rsidRPr="00406979">
        <w:rPr>
          <w:rFonts w:asciiTheme="majorBidi" w:hAnsiTheme="majorBidi" w:cstheme="majorBidi"/>
          <w:b/>
          <w:bCs/>
          <w:sz w:val="20"/>
          <w:szCs w:val="20"/>
          <w:lang w:bidi="en-US"/>
        </w:rPr>
        <w:t xml:space="preserve">Emile et al., </w:t>
      </w:r>
      <w:r w:rsidR="00291F91">
        <w:rPr>
          <w:rFonts w:asciiTheme="majorBidi" w:hAnsiTheme="majorBidi" w:cstheme="majorBidi"/>
          <w:b/>
          <w:bCs/>
          <w:sz w:val="20"/>
          <w:szCs w:val="20"/>
          <w:lang w:bidi="en-US"/>
        </w:rPr>
        <w:t>(5)</w:t>
      </w:r>
      <w:r w:rsidR="00291F91">
        <w:rPr>
          <w:rFonts w:asciiTheme="majorBidi" w:hAnsiTheme="majorBidi" w:cstheme="majorBidi"/>
          <w:bCs/>
          <w:sz w:val="20"/>
          <w:szCs w:val="20"/>
          <w:lang w:bidi="en-US"/>
        </w:rPr>
        <w:t xml:space="preserve"> </w:t>
      </w:r>
      <w:r w:rsidRPr="00406979">
        <w:rPr>
          <w:rFonts w:asciiTheme="majorBidi" w:hAnsiTheme="majorBidi" w:cstheme="majorBidi"/>
          <w:bCs/>
          <w:sz w:val="20"/>
          <w:szCs w:val="20"/>
          <w:lang w:bidi="en-US"/>
        </w:rPr>
        <w:t>who revealed that there was a significant improvement in comorbidities in SASI and SG group.</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Similarly, </w:t>
      </w:r>
      <w:proofErr w:type="spellStart"/>
      <w:r w:rsidR="00291F91" w:rsidRPr="00406979">
        <w:rPr>
          <w:rFonts w:asciiTheme="majorBidi" w:hAnsiTheme="majorBidi" w:cstheme="majorBidi"/>
          <w:b/>
          <w:bCs/>
          <w:sz w:val="20"/>
          <w:szCs w:val="20"/>
          <w:lang w:bidi="en-US"/>
        </w:rPr>
        <w:t>Mahdy</w:t>
      </w:r>
      <w:proofErr w:type="spellEnd"/>
      <w:r w:rsidR="00291F91" w:rsidRPr="00406979">
        <w:rPr>
          <w:rFonts w:asciiTheme="majorBidi" w:hAnsiTheme="majorBidi" w:cstheme="majorBidi"/>
          <w:b/>
          <w:bCs/>
          <w:sz w:val="20"/>
          <w:szCs w:val="20"/>
          <w:lang w:bidi="en-US"/>
        </w:rPr>
        <w:t xml:space="preserve"> et al., </w:t>
      </w:r>
      <w:r w:rsidR="00291F91">
        <w:rPr>
          <w:rFonts w:asciiTheme="majorBidi" w:hAnsiTheme="majorBidi" w:cstheme="majorBidi"/>
          <w:b/>
          <w:bCs/>
          <w:sz w:val="20"/>
          <w:szCs w:val="20"/>
          <w:lang w:bidi="en-US"/>
        </w:rPr>
        <w:t>(9)</w:t>
      </w:r>
      <w:r w:rsidR="00291F91" w:rsidRPr="00406979">
        <w:rPr>
          <w:rFonts w:asciiTheme="majorBidi" w:hAnsiTheme="majorBidi" w:cstheme="majorBidi"/>
          <w:b/>
          <w:bCs/>
          <w:sz w:val="20"/>
          <w:szCs w:val="20"/>
          <w:lang w:bidi="en-US"/>
        </w:rPr>
        <w:t xml:space="preserve"> </w:t>
      </w:r>
      <w:r w:rsidRPr="00406979">
        <w:rPr>
          <w:rFonts w:asciiTheme="majorBidi" w:hAnsiTheme="majorBidi" w:cstheme="majorBidi"/>
          <w:bCs/>
          <w:sz w:val="20"/>
          <w:szCs w:val="20"/>
          <w:lang w:bidi="en-US"/>
        </w:rPr>
        <w:t>revealed that there was a significant improvement in comorbidities in Sleeve Gastrectomy, One-Anastomosis Gastric Bypass (OAGB), and Single Anastomosis Sleeve Ileal (SASI) groups.</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A systematic review and meta-analysis by </w:t>
      </w:r>
      <w:r w:rsidRPr="00406979">
        <w:rPr>
          <w:rFonts w:asciiTheme="majorBidi" w:hAnsiTheme="majorBidi" w:cstheme="majorBidi"/>
          <w:b/>
          <w:bCs/>
          <w:sz w:val="20"/>
          <w:szCs w:val="20"/>
          <w:lang w:bidi="en-US"/>
        </w:rPr>
        <w:t xml:space="preserve">Emile et al., </w:t>
      </w:r>
      <w:r w:rsidR="00291F91">
        <w:rPr>
          <w:rFonts w:asciiTheme="majorBidi" w:hAnsiTheme="majorBidi" w:cstheme="majorBidi"/>
          <w:b/>
          <w:bCs/>
          <w:sz w:val="20"/>
          <w:szCs w:val="20"/>
          <w:lang w:bidi="en-US"/>
        </w:rPr>
        <w:t>(10)</w:t>
      </w:r>
      <w:r w:rsidRPr="00406979">
        <w:rPr>
          <w:rFonts w:asciiTheme="majorBidi" w:hAnsiTheme="majorBidi" w:cstheme="majorBidi"/>
          <w:b/>
          <w:bCs/>
          <w:sz w:val="20"/>
          <w:szCs w:val="20"/>
          <w:lang w:bidi="en-US"/>
        </w:rPr>
        <w:t xml:space="preserve"> </w:t>
      </w:r>
      <w:r w:rsidRPr="00406979">
        <w:rPr>
          <w:rFonts w:asciiTheme="majorBidi" w:hAnsiTheme="majorBidi" w:cstheme="majorBidi"/>
          <w:bCs/>
          <w:sz w:val="20"/>
          <w:szCs w:val="20"/>
          <w:lang w:bidi="en-US"/>
        </w:rPr>
        <w:t>including 941 patients underwent SASI bypass showed that the weighted mean rate of improvement in diabetes mellitus was 99.1 (95%CI: 98.2–99.9, I2 = 0). The crude percentages of patients with improvement in hypertension, hyperlipidemia, and gastroesophageal reflux disease were 51%, 76.6%, and 92%, respectively.</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Also, </w:t>
      </w:r>
      <w:proofErr w:type="spellStart"/>
      <w:r w:rsidR="00291F91" w:rsidRPr="00406979">
        <w:rPr>
          <w:rFonts w:asciiTheme="majorBidi" w:hAnsiTheme="majorBidi" w:cstheme="majorBidi"/>
          <w:b/>
          <w:bCs/>
          <w:sz w:val="20"/>
          <w:szCs w:val="20"/>
          <w:lang w:bidi="en-US"/>
        </w:rPr>
        <w:t>Abdalaziz</w:t>
      </w:r>
      <w:proofErr w:type="spellEnd"/>
      <w:r w:rsidR="00291F91" w:rsidRPr="00406979">
        <w:rPr>
          <w:rFonts w:asciiTheme="majorBidi" w:hAnsiTheme="majorBidi" w:cstheme="majorBidi"/>
          <w:b/>
          <w:bCs/>
          <w:sz w:val="20"/>
          <w:szCs w:val="20"/>
          <w:lang w:bidi="en-US"/>
        </w:rPr>
        <w:t xml:space="preserve"> et al., </w:t>
      </w:r>
      <w:r w:rsidR="00291F91">
        <w:rPr>
          <w:rFonts w:asciiTheme="majorBidi" w:hAnsiTheme="majorBidi" w:cstheme="majorBidi"/>
          <w:b/>
          <w:bCs/>
          <w:sz w:val="20"/>
          <w:szCs w:val="20"/>
          <w:lang w:bidi="en-US"/>
        </w:rPr>
        <w:t>(6)</w:t>
      </w:r>
      <w:r w:rsidR="00291F91">
        <w:rPr>
          <w:rFonts w:asciiTheme="majorBidi" w:hAnsiTheme="majorBidi" w:cstheme="majorBidi"/>
          <w:bCs/>
          <w:sz w:val="20"/>
          <w:szCs w:val="20"/>
          <w:lang w:bidi="en-US"/>
        </w:rPr>
        <w:t xml:space="preserve"> </w:t>
      </w:r>
      <w:r w:rsidRPr="00406979">
        <w:rPr>
          <w:rFonts w:asciiTheme="majorBidi" w:hAnsiTheme="majorBidi" w:cstheme="majorBidi"/>
          <w:bCs/>
          <w:sz w:val="20"/>
          <w:szCs w:val="20"/>
          <w:lang w:bidi="en-US"/>
        </w:rPr>
        <w:t>reported that patients’ evaluation at the 1-year post SASI procedure revealed that there were statistically high significant differences in the HbA1C, total cholesterol and triglycerides levels compared to the baseline measures, while no significant difference was noted in the serum albumin levels. The remission rates of T2DM, hyperlipidemia, and hypertension were 85.7%, 94.7%, and 89.66%, respectively, with statistically high significant differences between the pre-operative and 1-year post-operative comorbidities rate.</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lastRenderedPageBreak/>
        <w:t>As well, in agreement with the current study</w:t>
      </w:r>
      <w:r w:rsidRPr="00406979">
        <w:rPr>
          <w:rFonts w:asciiTheme="majorBidi" w:hAnsiTheme="majorBidi" w:cstheme="majorBidi"/>
          <w:b/>
          <w:bCs/>
          <w:sz w:val="20"/>
          <w:szCs w:val="20"/>
          <w:lang w:bidi="en-US"/>
        </w:rPr>
        <w:t xml:space="preserve"> </w:t>
      </w:r>
      <w:proofErr w:type="spellStart"/>
      <w:r w:rsidRPr="00406979">
        <w:rPr>
          <w:rFonts w:asciiTheme="majorBidi" w:hAnsiTheme="majorBidi" w:cstheme="majorBidi"/>
          <w:b/>
          <w:bCs/>
          <w:sz w:val="20"/>
          <w:szCs w:val="20"/>
          <w:lang w:bidi="en-US"/>
        </w:rPr>
        <w:t>Deabes</w:t>
      </w:r>
      <w:proofErr w:type="spellEnd"/>
      <w:r w:rsidRPr="00406979">
        <w:rPr>
          <w:rFonts w:asciiTheme="majorBidi" w:hAnsiTheme="majorBidi" w:cstheme="majorBidi"/>
          <w:b/>
          <w:bCs/>
          <w:sz w:val="20"/>
          <w:szCs w:val="20"/>
          <w:lang w:bidi="en-US"/>
        </w:rPr>
        <w:t xml:space="preserve"> et al., </w:t>
      </w:r>
      <w:r w:rsidR="00291F91">
        <w:rPr>
          <w:rFonts w:asciiTheme="majorBidi" w:hAnsiTheme="majorBidi" w:cstheme="majorBidi"/>
          <w:b/>
          <w:bCs/>
          <w:sz w:val="20"/>
          <w:szCs w:val="20"/>
          <w:lang w:bidi="en-US"/>
        </w:rPr>
        <w:t>(11)</w:t>
      </w:r>
      <w:r w:rsidRPr="00406979">
        <w:rPr>
          <w:rFonts w:asciiTheme="majorBidi" w:hAnsiTheme="majorBidi" w:cstheme="majorBidi"/>
          <w:bCs/>
          <w:sz w:val="20"/>
          <w:szCs w:val="20"/>
          <w:lang w:bidi="en-US"/>
        </w:rPr>
        <w:t xml:space="preserve"> revealed that there was high significant difference between before and after SASI surgery as regard FBG, </w:t>
      </w:r>
      <w:proofErr w:type="spellStart"/>
      <w:r w:rsidRPr="00406979">
        <w:rPr>
          <w:rFonts w:asciiTheme="majorBidi" w:hAnsiTheme="majorBidi" w:cstheme="majorBidi"/>
          <w:bCs/>
          <w:sz w:val="20"/>
          <w:szCs w:val="20"/>
          <w:lang w:bidi="en-US"/>
        </w:rPr>
        <w:t>HbAIC</w:t>
      </w:r>
      <w:proofErr w:type="spellEnd"/>
      <w:r w:rsidRPr="00406979">
        <w:rPr>
          <w:rFonts w:asciiTheme="majorBidi" w:hAnsiTheme="majorBidi" w:cstheme="majorBidi"/>
          <w:bCs/>
          <w:sz w:val="20"/>
          <w:szCs w:val="20"/>
          <w:lang w:bidi="en-US"/>
        </w:rPr>
        <w:t>, triglycerides, cholesterol, HDL and LDL.</w:t>
      </w:r>
    </w:p>
    <w:p w:rsidR="00406979" w:rsidRPr="00406979" w:rsidRDefault="00406979" w:rsidP="00406979">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Comparison of preoperative and postoperative BMI in the two groups, showed that there was significant decrease from preoperative to 12 months postoperative regarding BMI in both groups.</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This was supported by </w:t>
      </w:r>
      <w:r w:rsidR="00291F91" w:rsidRPr="00406979">
        <w:rPr>
          <w:rFonts w:asciiTheme="majorBidi" w:hAnsiTheme="majorBidi" w:cstheme="majorBidi"/>
          <w:b/>
          <w:bCs/>
          <w:sz w:val="20"/>
          <w:szCs w:val="20"/>
          <w:lang w:bidi="en-US"/>
        </w:rPr>
        <w:t xml:space="preserve">Emile et al., </w:t>
      </w:r>
      <w:r w:rsidR="00291F91">
        <w:rPr>
          <w:rFonts w:asciiTheme="majorBidi" w:hAnsiTheme="majorBidi" w:cstheme="majorBidi"/>
          <w:b/>
          <w:bCs/>
          <w:sz w:val="20"/>
          <w:szCs w:val="20"/>
          <w:lang w:bidi="en-US"/>
        </w:rPr>
        <w:t>(5)</w:t>
      </w:r>
      <w:r w:rsidR="00291F91">
        <w:rPr>
          <w:rFonts w:asciiTheme="majorBidi" w:hAnsiTheme="majorBidi" w:cstheme="majorBidi"/>
          <w:bCs/>
          <w:sz w:val="20"/>
          <w:szCs w:val="20"/>
          <w:lang w:bidi="en-US"/>
        </w:rPr>
        <w:t xml:space="preserve"> </w:t>
      </w:r>
      <w:r w:rsidRPr="00406979">
        <w:rPr>
          <w:rFonts w:asciiTheme="majorBidi" w:hAnsiTheme="majorBidi" w:cstheme="majorBidi"/>
          <w:bCs/>
          <w:sz w:val="20"/>
          <w:szCs w:val="20"/>
          <w:lang w:bidi="en-US"/>
        </w:rPr>
        <w:t>who revealed that both groups showed a significant decrease in body weight and BMI at 6 and 12 months postoperatively. There no were no significant differences between SG and SASI bypass in weight loss at 6 months after surgery. However, the differences between the two groups in body weight and BMI at 12 months were statistically significant. Similarly, while the %EWL at 6 months postoperatively was similar between SG and SASI bypass, SASI bypass conferred significantly higher %EWL at 12 months as compared to SG (72.6 ± 14.03 Vs 60.4 ± 12.5, p &lt; 0.0001).</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Also, </w:t>
      </w:r>
      <w:proofErr w:type="spellStart"/>
      <w:r w:rsidR="00291F91" w:rsidRPr="00406979">
        <w:rPr>
          <w:rFonts w:asciiTheme="majorBidi" w:hAnsiTheme="majorBidi" w:cstheme="majorBidi"/>
          <w:b/>
          <w:bCs/>
          <w:sz w:val="20"/>
          <w:szCs w:val="20"/>
          <w:lang w:bidi="en-US"/>
        </w:rPr>
        <w:t>Mahdy</w:t>
      </w:r>
      <w:proofErr w:type="spellEnd"/>
      <w:r w:rsidR="00291F91" w:rsidRPr="00406979">
        <w:rPr>
          <w:rFonts w:asciiTheme="majorBidi" w:hAnsiTheme="majorBidi" w:cstheme="majorBidi"/>
          <w:b/>
          <w:bCs/>
          <w:sz w:val="20"/>
          <w:szCs w:val="20"/>
          <w:lang w:bidi="en-US"/>
        </w:rPr>
        <w:t xml:space="preserve"> et al., </w:t>
      </w:r>
      <w:r w:rsidR="00291F91">
        <w:rPr>
          <w:rFonts w:asciiTheme="majorBidi" w:hAnsiTheme="majorBidi" w:cstheme="majorBidi"/>
          <w:b/>
          <w:bCs/>
          <w:sz w:val="20"/>
          <w:szCs w:val="20"/>
          <w:lang w:bidi="en-US"/>
        </w:rPr>
        <w:t>(9)</w:t>
      </w:r>
      <w:r w:rsidR="00291F91" w:rsidRPr="00406979">
        <w:rPr>
          <w:rFonts w:asciiTheme="majorBidi" w:hAnsiTheme="majorBidi" w:cstheme="majorBidi"/>
          <w:b/>
          <w:bCs/>
          <w:sz w:val="20"/>
          <w:szCs w:val="20"/>
          <w:lang w:bidi="en-US"/>
        </w:rPr>
        <w:t xml:space="preserve"> </w:t>
      </w:r>
      <w:r w:rsidRPr="00406979">
        <w:rPr>
          <w:rFonts w:asciiTheme="majorBidi" w:hAnsiTheme="majorBidi" w:cstheme="majorBidi"/>
          <w:bCs/>
          <w:sz w:val="20"/>
          <w:szCs w:val="20"/>
          <w:lang w:bidi="en-US"/>
        </w:rPr>
        <w:t>reported that a significant weight loss was recorded at 6 and 12 months after the three procedures [Sleeve Gastrectomy, One-Anastomosis Gastric Bypass (OAGB), and Single Anastomosis Sleeve Ileal (SASI)] as revealed by a significant decrease in weight and BMI compared to baseline values and a significant increase in %TWL, %EWL, and %EBMIL. At 6 months postoperatively, body weight and BMI were significantly lower after SASI bypass than after SG and OAGB (p = 0.01 &amp; 0.04). The %TWL, %EWL, and %EBMIL were significantly higher after SASI bypass than after SG and OAGB (p = 0.0001, &lt; 0.0001, 0.02). Similarly, at 12 months postoperatively, body weight and BMI were significantly lower after SASI bypass than after SG and OAGB (p &lt; 0.0001). The %TWL and %EWL were significantly higher after SASI bypass than after SG and OAGB (p &lt; 0.0001 each) whereas the %EBMIL was comparable among the three groups (p = 0.059).</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Furthermore, </w:t>
      </w:r>
      <w:r w:rsidR="00291F91" w:rsidRPr="00406979">
        <w:rPr>
          <w:rFonts w:asciiTheme="majorBidi" w:hAnsiTheme="majorBidi" w:cstheme="majorBidi"/>
          <w:b/>
          <w:bCs/>
          <w:sz w:val="20"/>
          <w:szCs w:val="20"/>
          <w:lang w:bidi="en-US"/>
        </w:rPr>
        <w:t xml:space="preserve">Wu et al., </w:t>
      </w:r>
      <w:r w:rsidR="00291F91">
        <w:rPr>
          <w:rFonts w:asciiTheme="majorBidi" w:hAnsiTheme="majorBidi" w:cstheme="majorBidi"/>
          <w:b/>
          <w:bCs/>
          <w:sz w:val="20"/>
          <w:szCs w:val="20"/>
          <w:lang w:bidi="en-US"/>
        </w:rPr>
        <w:t>(8)</w:t>
      </w:r>
      <w:r w:rsidR="00291F91" w:rsidRPr="00406979">
        <w:rPr>
          <w:rFonts w:asciiTheme="majorBidi" w:hAnsiTheme="majorBidi" w:cstheme="majorBidi"/>
          <w:b/>
          <w:bCs/>
          <w:sz w:val="20"/>
          <w:szCs w:val="20"/>
          <w:lang w:bidi="en-US"/>
        </w:rPr>
        <w:t xml:space="preserve"> </w:t>
      </w:r>
      <w:r w:rsidRPr="00406979">
        <w:rPr>
          <w:rFonts w:asciiTheme="majorBidi" w:hAnsiTheme="majorBidi" w:cstheme="majorBidi"/>
          <w:bCs/>
          <w:sz w:val="20"/>
          <w:szCs w:val="20"/>
          <w:lang w:bidi="en-US"/>
        </w:rPr>
        <w:t>revealed that there was no significant difference in body weight and food intake among all the groups preoperatively. Postoperatively, food intake was significantly lower in the SADIS, SASI, and SG groups than in the SHAM group (p &lt;0.05). Body weight was significantly lower in the SADI-S, SASI, and SG groups than in the SHAM group (p &lt; 0.05). The SADI-S and SASI groups showed significantly lower body weight than the SG group at 3 and 4 months (p &lt; 0.05).</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lastRenderedPageBreak/>
        <w:t xml:space="preserve">The systematic review and meta-analysis by </w:t>
      </w:r>
      <w:r w:rsidR="00291F91" w:rsidRPr="00406979">
        <w:rPr>
          <w:rFonts w:asciiTheme="majorBidi" w:hAnsiTheme="majorBidi" w:cstheme="majorBidi"/>
          <w:b/>
          <w:bCs/>
          <w:sz w:val="20"/>
          <w:szCs w:val="20"/>
          <w:lang w:bidi="en-US"/>
        </w:rPr>
        <w:t xml:space="preserve">Emile et al., </w:t>
      </w:r>
      <w:r w:rsidR="00291F91">
        <w:rPr>
          <w:rFonts w:asciiTheme="majorBidi" w:hAnsiTheme="majorBidi" w:cstheme="majorBidi"/>
          <w:b/>
          <w:bCs/>
          <w:sz w:val="20"/>
          <w:szCs w:val="20"/>
          <w:lang w:bidi="en-US"/>
        </w:rPr>
        <w:t>(10)</w:t>
      </w:r>
      <w:r w:rsidR="00291F91" w:rsidRPr="00406979">
        <w:rPr>
          <w:rFonts w:asciiTheme="majorBidi" w:hAnsiTheme="majorBidi" w:cstheme="majorBidi"/>
          <w:b/>
          <w:bCs/>
          <w:sz w:val="20"/>
          <w:szCs w:val="20"/>
          <w:lang w:bidi="en-US"/>
        </w:rPr>
        <w:t xml:space="preserve"> </w:t>
      </w:r>
      <w:r w:rsidRPr="00406979">
        <w:rPr>
          <w:rFonts w:asciiTheme="majorBidi" w:hAnsiTheme="majorBidi" w:cstheme="majorBidi"/>
          <w:bCs/>
          <w:sz w:val="20"/>
          <w:szCs w:val="20"/>
          <w:lang w:bidi="en-US"/>
        </w:rPr>
        <w:t>in SASI bypass showed that the median BMI of 45.6 kg/m2. The median %EWL at 6 months was 59.4% and significantly (p = 0.04) increased to 90.1% at 12 months.</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Furthermore, </w:t>
      </w:r>
      <w:proofErr w:type="spellStart"/>
      <w:r w:rsidRPr="00406979">
        <w:rPr>
          <w:rFonts w:asciiTheme="majorBidi" w:hAnsiTheme="majorBidi" w:cstheme="majorBidi"/>
          <w:b/>
          <w:bCs/>
          <w:sz w:val="20"/>
          <w:szCs w:val="20"/>
          <w:lang w:bidi="en-US"/>
        </w:rPr>
        <w:t>Moustafa</w:t>
      </w:r>
      <w:proofErr w:type="spellEnd"/>
      <w:r w:rsidRPr="00406979">
        <w:rPr>
          <w:rFonts w:asciiTheme="majorBidi" w:hAnsiTheme="majorBidi" w:cstheme="majorBidi"/>
          <w:bCs/>
          <w:sz w:val="20"/>
          <w:szCs w:val="20"/>
          <w:lang w:bidi="en-US"/>
        </w:rPr>
        <w:t xml:space="preserve"> </w:t>
      </w:r>
      <w:r w:rsidRPr="00406979">
        <w:rPr>
          <w:rFonts w:asciiTheme="majorBidi" w:hAnsiTheme="majorBidi" w:cstheme="majorBidi"/>
          <w:b/>
          <w:bCs/>
          <w:sz w:val="20"/>
          <w:szCs w:val="20"/>
          <w:lang w:bidi="en-US"/>
        </w:rPr>
        <w:t xml:space="preserve">et al., </w:t>
      </w:r>
      <w:r w:rsidR="00291F91">
        <w:rPr>
          <w:rFonts w:asciiTheme="majorBidi" w:hAnsiTheme="majorBidi" w:cstheme="majorBidi"/>
          <w:b/>
          <w:bCs/>
          <w:sz w:val="20"/>
          <w:szCs w:val="20"/>
          <w:lang w:bidi="en-US"/>
        </w:rPr>
        <w:t>(12)</w:t>
      </w:r>
      <w:r w:rsidRPr="00406979">
        <w:rPr>
          <w:rFonts w:asciiTheme="majorBidi" w:hAnsiTheme="majorBidi" w:cstheme="majorBidi"/>
          <w:bCs/>
          <w:sz w:val="20"/>
          <w:szCs w:val="20"/>
          <w:lang w:bidi="en-US"/>
        </w:rPr>
        <w:t xml:space="preserve"> reported that there was a significant BMI reduction in SASI and mini-gastric bypass groups at 1, 6 and 12 months of the follow-up. The mean BMI values were significantly lower in the SASI group compared to mini-gastric bypass group 2 during the whole follow-up, but the differences in %EWL were not significant. </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Also, </w:t>
      </w:r>
      <w:proofErr w:type="spellStart"/>
      <w:r w:rsidR="00291F91" w:rsidRPr="00406979">
        <w:rPr>
          <w:rFonts w:asciiTheme="majorBidi" w:hAnsiTheme="majorBidi" w:cstheme="majorBidi"/>
          <w:b/>
          <w:bCs/>
          <w:sz w:val="20"/>
          <w:szCs w:val="20"/>
          <w:lang w:bidi="en-US"/>
        </w:rPr>
        <w:t>Abdalaziz</w:t>
      </w:r>
      <w:proofErr w:type="spellEnd"/>
      <w:r w:rsidR="00291F91" w:rsidRPr="00406979">
        <w:rPr>
          <w:rFonts w:asciiTheme="majorBidi" w:hAnsiTheme="majorBidi" w:cstheme="majorBidi"/>
          <w:b/>
          <w:bCs/>
          <w:sz w:val="20"/>
          <w:szCs w:val="20"/>
          <w:lang w:bidi="en-US"/>
        </w:rPr>
        <w:t xml:space="preserve"> et al., </w:t>
      </w:r>
      <w:r w:rsidR="00291F91">
        <w:rPr>
          <w:rFonts w:asciiTheme="majorBidi" w:hAnsiTheme="majorBidi" w:cstheme="majorBidi"/>
          <w:b/>
          <w:bCs/>
          <w:sz w:val="20"/>
          <w:szCs w:val="20"/>
          <w:lang w:bidi="en-US"/>
        </w:rPr>
        <w:t>(6)</w:t>
      </w:r>
      <w:r w:rsidR="00291F91">
        <w:rPr>
          <w:rFonts w:asciiTheme="majorBidi" w:hAnsiTheme="majorBidi" w:cstheme="majorBidi"/>
          <w:bCs/>
          <w:sz w:val="20"/>
          <w:szCs w:val="20"/>
          <w:lang w:bidi="en-US"/>
        </w:rPr>
        <w:t xml:space="preserve"> </w:t>
      </w:r>
      <w:r w:rsidRPr="00406979">
        <w:rPr>
          <w:rFonts w:asciiTheme="majorBidi" w:hAnsiTheme="majorBidi" w:cstheme="majorBidi"/>
          <w:bCs/>
          <w:sz w:val="20"/>
          <w:szCs w:val="20"/>
          <w:lang w:bidi="en-US"/>
        </w:rPr>
        <w:t>reported that patients’ evaluation at the 1-year post SASI procedure revealed that the weight and BMI decreased significantly with mean difference of 47.21 ± 6.17 and 18.17 ± 3.43, respectively. The %TWL mean was 37.55 ± 6.17 and the mean %EBWL was 76.21 ± 9.8.</w:t>
      </w:r>
    </w:p>
    <w:p w:rsidR="00406979" w:rsidRPr="00406979" w:rsidRDefault="00406979" w:rsidP="00406979">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Regarding early postoperative complications between the two studied, our results showed that there was no significant difference between the two studied groups regarding early complications.</w:t>
      </w:r>
    </w:p>
    <w:p w:rsidR="00406979" w:rsidRPr="00406979" w:rsidRDefault="00406979" w:rsidP="00406979">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Also, as regard late postoperative complications between the two studied groups, we found that there was no significant difference between the two studied groups regarding late complications.</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Our results were agreed with </w:t>
      </w:r>
      <w:r w:rsidR="00291F91" w:rsidRPr="00406979">
        <w:rPr>
          <w:rFonts w:asciiTheme="majorBidi" w:hAnsiTheme="majorBidi" w:cstheme="majorBidi"/>
          <w:b/>
          <w:bCs/>
          <w:sz w:val="20"/>
          <w:szCs w:val="20"/>
          <w:lang w:bidi="en-US"/>
        </w:rPr>
        <w:t xml:space="preserve">Emile et al., </w:t>
      </w:r>
      <w:r w:rsidR="00291F91">
        <w:rPr>
          <w:rFonts w:asciiTheme="majorBidi" w:hAnsiTheme="majorBidi" w:cstheme="majorBidi"/>
          <w:b/>
          <w:bCs/>
          <w:sz w:val="20"/>
          <w:szCs w:val="20"/>
          <w:lang w:bidi="en-US"/>
        </w:rPr>
        <w:t>(5)</w:t>
      </w:r>
      <w:r w:rsidR="00291F91">
        <w:rPr>
          <w:rFonts w:asciiTheme="majorBidi" w:hAnsiTheme="majorBidi" w:cstheme="majorBidi"/>
          <w:bCs/>
          <w:sz w:val="20"/>
          <w:szCs w:val="20"/>
          <w:lang w:bidi="en-US"/>
        </w:rPr>
        <w:t xml:space="preserve"> </w:t>
      </w:r>
      <w:r w:rsidRPr="00406979">
        <w:rPr>
          <w:rFonts w:asciiTheme="majorBidi" w:hAnsiTheme="majorBidi" w:cstheme="majorBidi"/>
          <w:bCs/>
          <w:sz w:val="20"/>
          <w:szCs w:val="20"/>
          <w:lang w:bidi="en-US"/>
        </w:rPr>
        <w:t>who found that there was no significant difference between the two studied groups regarding early complications. Twelve (20.7%) complications were recorded after SG and four (6.9%) complications after SASI bypass (p = 0.056). Complications of SG included de-novo GERD (n = 7), staple line leak (n = 1), persistent vomiting (n = 2), bleeding (n = 1), post site hematoma (n = 1). Complications of SASI bypass included bleeding (n = 1), bowel obstruction (n = 1), and pneumonia (n = 2).</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However, </w:t>
      </w:r>
      <w:proofErr w:type="spellStart"/>
      <w:r w:rsidR="00291F91" w:rsidRPr="00406979">
        <w:rPr>
          <w:rFonts w:asciiTheme="majorBidi" w:hAnsiTheme="majorBidi" w:cstheme="majorBidi"/>
          <w:b/>
          <w:bCs/>
          <w:sz w:val="20"/>
          <w:szCs w:val="20"/>
          <w:lang w:bidi="en-US"/>
        </w:rPr>
        <w:t>Mahdy</w:t>
      </w:r>
      <w:proofErr w:type="spellEnd"/>
      <w:r w:rsidR="00291F91" w:rsidRPr="00406979">
        <w:rPr>
          <w:rFonts w:asciiTheme="majorBidi" w:hAnsiTheme="majorBidi" w:cstheme="majorBidi"/>
          <w:b/>
          <w:bCs/>
          <w:sz w:val="20"/>
          <w:szCs w:val="20"/>
          <w:lang w:bidi="en-US"/>
        </w:rPr>
        <w:t xml:space="preserve"> et al., </w:t>
      </w:r>
      <w:r w:rsidR="00291F91">
        <w:rPr>
          <w:rFonts w:asciiTheme="majorBidi" w:hAnsiTheme="majorBidi" w:cstheme="majorBidi"/>
          <w:b/>
          <w:bCs/>
          <w:sz w:val="20"/>
          <w:szCs w:val="20"/>
          <w:lang w:bidi="en-US"/>
        </w:rPr>
        <w:t>(9)</w:t>
      </w:r>
      <w:r w:rsidR="00291F91" w:rsidRPr="00406979">
        <w:rPr>
          <w:rFonts w:asciiTheme="majorBidi" w:hAnsiTheme="majorBidi" w:cstheme="majorBidi"/>
          <w:b/>
          <w:bCs/>
          <w:sz w:val="20"/>
          <w:szCs w:val="20"/>
          <w:lang w:bidi="en-US"/>
        </w:rPr>
        <w:t xml:space="preserve"> </w:t>
      </w:r>
      <w:r w:rsidRPr="00406979">
        <w:rPr>
          <w:rFonts w:asciiTheme="majorBidi" w:hAnsiTheme="majorBidi" w:cstheme="majorBidi"/>
          <w:bCs/>
          <w:sz w:val="20"/>
          <w:szCs w:val="20"/>
          <w:lang w:bidi="en-US"/>
        </w:rPr>
        <w:t xml:space="preserve">reported that Short-term complications occurred in one patient after OAGB in the form of pouch gangrene and perforation and in three patients after SASI bypass in the form of bleeding and obstruction whereas no short-term complications were recorded after SG. SASI bypass had the highest rate of short-term complications; however, the difference between the three procedures was not statistically significant (0 vs 1 vs 4% in SG, OAGB, SASI bypass respectively, p = 0.07). Long-term complications involved hypoalbuminemia in two patients who underwent SG, nine patients who underwent OAGB, and nine patients who had SASI bypass. Two patients developed peripheral </w:t>
      </w:r>
      <w:r w:rsidRPr="00406979">
        <w:rPr>
          <w:rFonts w:asciiTheme="majorBidi" w:hAnsiTheme="majorBidi" w:cstheme="majorBidi"/>
          <w:bCs/>
          <w:sz w:val="20"/>
          <w:szCs w:val="20"/>
          <w:lang w:bidi="en-US"/>
        </w:rPr>
        <w:lastRenderedPageBreak/>
        <w:t>neuropathy after SASI bypass due to vitamin deficiency. There was a significant difference between the three procedures in terms of long-term complications (2% vs 9.8% vs 14.9%, p = 0.005). the disagreement regarding the long-term complications may be due to the difference in sample size and the significant difference in ages between the three studied groups.</w:t>
      </w:r>
    </w:p>
    <w:p w:rsidR="00406979" w:rsidRPr="00406979" w:rsidRDefault="00406979" w:rsidP="00291F91">
      <w:pPr>
        <w:bidi w:val="0"/>
        <w:spacing w:after="0" w:line="240" w:lineRule="auto"/>
        <w:jc w:val="both"/>
        <w:rPr>
          <w:rFonts w:asciiTheme="majorBidi" w:hAnsiTheme="majorBidi" w:cstheme="majorBidi"/>
          <w:bCs/>
          <w:sz w:val="20"/>
          <w:szCs w:val="20"/>
          <w:lang w:bidi="en-US"/>
        </w:rPr>
      </w:pPr>
      <w:r w:rsidRPr="00406979">
        <w:rPr>
          <w:rFonts w:asciiTheme="majorBidi" w:hAnsiTheme="majorBidi" w:cstheme="majorBidi"/>
          <w:bCs/>
          <w:sz w:val="20"/>
          <w:szCs w:val="20"/>
          <w:lang w:bidi="en-US"/>
        </w:rPr>
        <w:t xml:space="preserve">The systematic review and meta-analysis by </w:t>
      </w:r>
      <w:r w:rsidR="00291F91" w:rsidRPr="00406979">
        <w:rPr>
          <w:rFonts w:asciiTheme="majorBidi" w:hAnsiTheme="majorBidi" w:cstheme="majorBidi"/>
          <w:b/>
          <w:bCs/>
          <w:sz w:val="20"/>
          <w:szCs w:val="20"/>
          <w:lang w:bidi="en-US"/>
        </w:rPr>
        <w:t xml:space="preserve">Emile et al., </w:t>
      </w:r>
      <w:r w:rsidR="00291F91">
        <w:rPr>
          <w:rFonts w:asciiTheme="majorBidi" w:hAnsiTheme="majorBidi" w:cstheme="majorBidi"/>
          <w:b/>
          <w:bCs/>
          <w:sz w:val="20"/>
          <w:szCs w:val="20"/>
          <w:lang w:bidi="en-US"/>
        </w:rPr>
        <w:t>(10)</w:t>
      </w:r>
      <w:r w:rsidR="00291F91" w:rsidRPr="00406979">
        <w:rPr>
          <w:rFonts w:asciiTheme="majorBidi" w:hAnsiTheme="majorBidi" w:cstheme="majorBidi"/>
          <w:b/>
          <w:bCs/>
          <w:sz w:val="20"/>
          <w:szCs w:val="20"/>
          <w:lang w:bidi="en-US"/>
        </w:rPr>
        <w:t xml:space="preserve"> </w:t>
      </w:r>
      <w:r w:rsidRPr="00406979">
        <w:rPr>
          <w:rFonts w:asciiTheme="majorBidi" w:hAnsiTheme="majorBidi" w:cstheme="majorBidi"/>
          <w:bCs/>
          <w:sz w:val="20"/>
          <w:szCs w:val="20"/>
          <w:lang w:bidi="en-US"/>
        </w:rPr>
        <w:t>in SASI bypass showed that the complications were recorded in 116 (12.3%) patients.</w:t>
      </w:r>
    </w:p>
    <w:p w:rsidR="00C809AA" w:rsidRPr="005254AB" w:rsidRDefault="00586A27" w:rsidP="00586A27">
      <w:pPr>
        <w:bidi w:val="0"/>
        <w:spacing w:after="0" w:line="240" w:lineRule="auto"/>
        <w:jc w:val="both"/>
        <w:rPr>
          <w:rFonts w:asciiTheme="majorBidi" w:hAnsiTheme="majorBidi" w:cstheme="majorBidi"/>
          <w:b/>
          <w:sz w:val="20"/>
          <w:szCs w:val="20"/>
        </w:rPr>
      </w:pPr>
      <w:r w:rsidRPr="005254AB">
        <w:rPr>
          <w:rFonts w:asciiTheme="majorBidi" w:hAnsiTheme="majorBidi" w:cstheme="majorBidi"/>
          <w:b/>
          <w:sz w:val="20"/>
          <w:szCs w:val="20"/>
        </w:rPr>
        <w:t>5.</w:t>
      </w:r>
      <w:r w:rsidR="005C6C25" w:rsidRPr="005254AB">
        <w:rPr>
          <w:rFonts w:asciiTheme="majorBidi" w:hAnsiTheme="majorBidi" w:cstheme="majorBidi"/>
          <w:b/>
          <w:sz w:val="20"/>
          <w:szCs w:val="20"/>
        </w:rPr>
        <w:t>Conclusion:</w:t>
      </w:r>
      <w:r w:rsidR="00255CEC" w:rsidRPr="005254AB">
        <w:rPr>
          <w:rFonts w:asciiTheme="majorBidi" w:hAnsiTheme="majorBidi" w:cstheme="majorBidi"/>
          <w:b/>
          <w:sz w:val="20"/>
          <w:szCs w:val="20"/>
        </w:rPr>
        <w:tab/>
      </w:r>
    </w:p>
    <w:p w:rsidR="00FC4E75" w:rsidRPr="00FC4E75" w:rsidRDefault="00FC4E75" w:rsidP="00FC4E75">
      <w:pPr>
        <w:bidi w:val="0"/>
        <w:spacing w:after="0" w:line="240" w:lineRule="auto"/>
        <w:jc w:val="both"/>
        <w:rPr>
          <w:rFonts w:asciiTheme="majorBidi" w:hAnsiTheme="majorBidi" w:cstheme="majorBidi"/>
          <w:bCs/>
          <w:iCs/>
          <w:sz w:val="20"/>
          <w:szCs w:val="20"/>
          <w:lang w:bidi="en-US"/>
        </w:rPr>
      </w:pPr>
      <w:r w:rsidRPr="00FC4E75">
        <w:rPr>
          <w:rFonts w:asciiTheme="majorBidi" w:hAnsiTheme="majorBidi" w:cstheme="majorBidi"/>
          <w:bCs/>
          <w:iCs/>
          <w:sz w:val="20"/>
          <w:szCs w:val="20"/>
          <w:lang w:bidi="en-US"/>
        </w:rPr>
        <w:t>Both SASI and LSG procedures were safe and effective in the treatment of morbid obese. Both procedures resulted in significant improvement in BMI, lipid and glycemic profiles. SASI procedure results in better outcome as regard the improvement in both lipid and glycemic profiles, but it was comparable with LSG as regard operative data and rate of early and late complications. Further comparative studies with larger sample size and longer follow-up are needed to confirm our results and to identify risk factors of adverse events.</w:t>
      </w:r>
    </w:p>
    <w:p w:rsidR="00C22E01" w:rsidRPr="005254AB" w:rsidRDefault="00586A27" w:rsidP="00FC4E75">
      <w:pPr>
        <w:bidi w:val="0"/>
        <w:spacing w:after="0" w:line="240" w:lineRule="auto"/>
        <w:jc w:val="both"/>
        <w:rPr>
          <w:rFonts w:asciiTheme="majorBidi" w:hAnsiTheme="majorBidi" w:cstheme="majorBidi"/>
          <w:b/>
          <w:sz w:val="20"/>
          <w:szCs w:val="20"/>
        </w:rPr>
      </w:pPr>
      <w:r w:rsidRPr="005254AB">
        <w:rPr>
          <w:rFonts w:asciiTheme="majorBidi" w:hAnsiTheme="majorBidi" w:cstheme="majorBidi"/>
          <w:bCs/>
          <w:iCs/>
          <w:sz w:val="20"/>
          <w:szCs w:val="20"/>
          <w:lang w:bidi="en-US"/>
        </w:rPr>
        <w:t>6.</w:t>
      </w:r>
      <w:r w:rsidR="005C6C25" w:rsidRPr="005254AB">
        <w:rPr>
          <w:rFonts w:asciiTheme="majorBidi" w:hAnsiTheme="majorBidi" w:cstheme="majorBidi"/>
          <w:b/>
          <w:sz w:val="20"/>
          <w:szCs w:val="20"/>
        </w:rPr>
        <w:t>References:</w:t>
      </w:r>
    </w:p>
    <w:p w:rsidR="00291F91" w:rsidRPr="00A04F02" w:rsidRDefault="00291F91" w:rsidP="00291F91">
      <w:pPr>
        <w:pStyle w:val="a9"/>
        <w:numPr>
          <w:ilvl w:val="0"/>
          <w:numId w:val="23"/>
        </w:numPr>
        <w:autoSpaceDE w:val="0"/>
        <w:autoSpaceDN w:val="0"/>
        <w:bidi w:val="0"/>
        <w:adjustRightInd w:val="0"/>
        <w:spacing w:after="0" w:line="240" w:lineRule="auto"/>
        <w:jc w:val="both"/>
        <w:rPr>
          <w:rFonts w:asciiTheme="majorBidi" w:hAnsiTheme="majorBidi" w:cstheme="majorBidi"/>
          <w:sz w:val="20"/>
          <w:szCs w:val="20"/>
        </w:rPr>
      </w:pPr>
      <w:bookmarkStart w:id="1" w:name="B2"/>
      <w:bookmarkEnd w:id="1"/>
      <w:r w:rsidRPr="00A04F02">
        <w:rPr>
          <w:rFonts w:asciiTheme="majorBidi" w:hAnsiTheme="majorBidi" w:cstheme="majorBidi"/>
          <w:b/>
          <w:bCs/>
          <w:sz w:val="20"/>
          <w:szCs w:val="20"/>
        </w:rPr>
        <w:t xml:space="preserve">World Health Organization. </w:t>
      </w:r>
      <w:bookmarkStart w:id="2" w:name="_Hlk104107918"/>
      <w:r w:rsidRPr="00A04F02">
        <w:rPr>
          <w:rFonts w:asciiTheme="majorBidi" w:hAnsiTheme="majorBidi" w:cstheme="majorBidi"/>
          <w:b/>
          <w:bCs/>
          <w:sz w:val="20"/>
          <w:szCs w:val="20"/>
        </w:rPr>
        <w:t xml:space="preserve">(WHO). </w:t>
      </w:r>
      <w:bookmarkEnd w:id="2"/>
      <w:r w:rsidRPr="00A04F02">
        <w:rPr>
          <w:rFonts w:asciiTheme="majorBidi" w:hAnsiTheme="majorBidi" w:cstheme="majorBidi"/>
          <w:sz w:val="20"/>
          <w:szCs w:val="20"/>
        </w:rPr>
        <w:t>Facts about overweight and obesity. 2016. www.who.int/news-room/fact-sheets/detail/obesity-and-overweight (accessed March 3, 2020),2020.</w:t>
      </w:r>
    </w:p>
    <w:p w:rsidR="00291F91" w:rsidRPr="00A04F02" w:rsidRDefault="00291F91" w:rsidP="00291F91">
      <w:pPr>
        <w:pStyle w:val="a9"/>
        <w:numPr>
          <w:ilvl w:val="0"/>
          <w:numId w:val="23"/>
        </w:numPr>
        <w:autoSpaceDE w:val="0"/>
        <w:autoSpaceDN w:val="0"/>
        <w:bidi w:val="0"/>
        <w:adjustRightInd w:val="0"/>
        <w:spacing w:after="0" w:line="240" w:lineRule="auto"/>
        <w:jc w:val="both"/>
        <w:rPr>
          <w:rFonts w:asciiTheme="majorBidi" w:hAnsiTheme="majorBidi" w:cstheme="majorBidi"/>
          <w:sz w:val="20"/>
          <w:szCs w:val="20"/>
        </w:rPr>
      </w:pPr>
      <w:bookmarkStart w:id="3" w:name="_Hlk104107986"/>
      <w:r w:rsidRPr="00A04F02">
        <w:rPr>
          <w:rFonts w:asciiTheme="majorBidi" w:hAnsiTheme="majorBidi" w:cstheme="majorBidi"/>
          <w:b/>
          <w:bCs/>
          <w:sz w:val="20"/>
          <w:szCs w:val="20"/>
        </w:rPr>
        <w:t>K. Kichler</w:t>
      </w:r>
      <w:bookmarkEnd w:id="3"/>
      <w:r w:rsidRPr="00A04F02">
        <w:rPr>
          <w:rFonts w:asciiTheme="majorBidi" w:hAnsiTheme="majorBidi" w:cstheme="majorBidi"/>
          <w:b/>
          <w:bCs/>
          <w:sz w:val="20"/>
          <w:szCs w:val="20"/>
        </w:rPr>
        <w:t xml:space="preserve">, RJ. Rosenthal, E. </w:t>
      </w:r>
      <w:proofErr w:type="spellStart"/>
      <w:r w:rsidRPr="00A04F02">
        <w:rPr>
          <w:rFonts w:asciiTheme="majorBidi" w:hAnsiTheme="majorBidi" w:cstheme="majorBidi"/>
          <w:b/>
          <w:bCs/>
          <w:sz w:val="20"/>
          <w:szCs w:val="20"/>
        </w:rPr>
        <w:t>DeMaria</w:t>
      </w:r>
      <w:proofErr w:type="spellEnd"/>
      <w:r w:rsidRPr="00A04F02">
        <w:rPr>
          <w:rFonts w:asciiTheme="majorBidi" w:hAnsiTheme="majorBidi" w:cstheme="majorBidi"/>
          <w:b/>
          <w:bCs/>
          <w:sz w:val="20"/>
          <w:szCs w:val="20"/>
        </w:rPr>
        <w:t xml:space="preserve">, K. </w:t>
      </w:r>
      <w:proofErr w:type="spellStart"/>
      <w:r w:rsidRPr="00A04F02">
        <w:rPr>
          <w:rFonts w:asciiTheme="majorBidi" w:hAnsiTheme="majorBidi" w:cstheme="majorBidi"/>
          <w:b/>
          <w:bCs/>
          <w:sz w:val="20"/>
          <w:szCs w:val="20"/>
        </w:rPr>
        <w:t>Higa</w:t>
      </w:r>
      <w:proofErr w:type="spellEnd"/>
      <w:r w:rsidRPr="00A04F02">
        <w:rPr>
          <w:rFonts w:asciiTheme="majorBidi" w:hAnsiTheme="majorBidi" w:cstheme="majorBidi"/>
          <w:b/>
          <w:bCs/>
          <w:sz w:val="20"/>
          <w:szCs w:val="20"/>
        </w:rPr>
        <w:t xml:space="preserve">. </w:t>
      </w:r>
      <w:proofErr w:type="spellStart"/>
      <w:r w:rsidRPr="00A04F02">
        <w:rPr>
          <w:rFonts w:asciiTheme="majorBidi" w:hAnsiTheme="majorBidi" w:cstheme="majorBidi"/>
          <w:sz w:val="20"/>
          <w:szCs w:val="20"/>
        </w:rPr>
        <w:t>Reoperative</w:t>
      </w:r>
      <w:proofErr w:type="spellEnd"/>
      <w:r w:rsidRPr="00A04F02">
        <w:rPr>
          <w:rFonts w:asciiTheme="majorBidi" w:hAnsiTheme="majorBidi" w:cstheme="majorBidi"/>
          <w:sz w:val="20"/>
          <w:szCs w:val="20"/>
        </w:rPr>
        <w:t xml:space="preserve"> surgery of </w:t>
      </w:r>
      <w:proofErr w:type="spellStart"/>
      <w:r w:rsidRPr="00A04F02">
        <w:rPr>
          <w:rFonts w:asciiTheme="majorBidi" w:hAnsiTheme="majorBidi" w:cstheme="majorBidi"/>
          <w:sz w:val="20"/>
          <w:szCs w:val="20"/>
        </w:rPr>
        <w:t>nonresponders</w:t>
      </w:r>
      <w:proofErr w:type="spellEnd"/>
      <w:r w:rsidRPr="00A04F02">
        <w:rPr>
          <w:rFonts w:asciiTheme="majorBidi" w:hAnsiTheme="majorBidi" w:cstheme="majorBidi"/>
          <w:sz w:val="20"/>
          <w:szCs w:val="20"/>
        </w:rPr>
        <w:t xml:space="preserve"> and complicated sleeve gastrectomy operations in patients with severe obesity. An international expert panel consensus statement to define best practice guidelines. </w:t>
      </w:r>
      <w:proofErr w:type="spellStart"/>
      <w:r w:rsidRPr="00A04F02">
        <w:rPr>
          <w:rFonts w:asciiTheme="majorBidi" w:hAnsiTheme="majorBidi" w:cstheme="majorBidi"/>
          <w:sz w:val="20"/>
          <w:szCs w:val="20"/>
        </w:rPr>
        <w:t>Surg</w:t>
      </w:r>
      <w:proofErr w:type="spellEnd"/>
      <w:r w:rsidRPr="00A04F02">
        <w:rPr>
          <w:rFonts w:asciiTheme="majorBidi" w:hAnsiTheme="majorBidi" w:cstheme="majorBidi"/>
          <w:sz w:val="20"/>
          <w:szCs w:val="20"/>
        </w:rPr>
        <w:t xml:space="preserve"> </w:t>
      </w:r>
      <w:proofErr w:type="spellStart"/>
      <w:r w:rsidRPr="00A04F02">
        <w:rPr>
          <w:rFonts w:asciiTheme="majorBidi" w:hAnsiTheme="majorBidi" w:cstheme="majorBidi"/>
          <w:sz w:val="20"/>
          <w:szCs w:val="20"/>
        </w:rPr>
        <w:t>Obes</w:t>
      </w:r>
      <w:proofErr w:type="spellEnd"/>
      <w:r w:rsidRPr="00A04F02">
        <w:rPr>
          <w:rFonts w:asciiTheme="majorBidi" w:hAnsiTheme="majorBidi" w:cstheme="majorBidi"/>
          <w:sz w:val="20"/>
          <w:szCs w:val="20"/>
        </w:rPr>
        <w:t xml:space="preserve"> </w:t>
      </w:r>
      <w:proofErr w:type="spellStart"/>
      <w:r w:rsidRPr="00A04F02">
        <w:rPr>
          <w:rFonts w:asciiTheme="majorBidi" w:hAnsiTheme="majorBidi" w:cstheme="majorBidi"/>
          <w:sz w:val="20"/>
          <w:szCs w:val="20"/>
        </w:rPr>
        <w:t>Relat</w:t>
      </w:r>
      <w:proofErr w:type="spellEnd"/>
      <w:r w:rsidRPr="00A04F02">
        <w:rPr>
          <w:rFonts w:asciiTheme="majorBidi" w:hAnsiTheme="majorBidi" w:cstheme="majorBidi"/>
          <w:sz w:val="20"/>
          <w:szCs w:val="20"/>
        </w:rPr>
        <w:t xml:space="preserve"> Dis.vol.15,pp.173–186,2019.</w:t>
      </w:r>
    </w:p>
    <w:p w:rsidR="00291F91" w:rsidRPr="00A04F02" w:rsidRDefault="00291F91" w:rsidP="00291F91">
      <w:pPr>
        <w:pStyle w:val="a9"/>
        <w:numPr>
          <w:ilvl w:val="0"/>
          <w:numId w:val="23"/>
        </w:numPr>
        <w:autoSpaceDE w:val="0"/>
        <w:autoSpaceDN w:val="0"/>
        <w:bidi w:val="0"/>
        <w:adjustRightInd w:val="0"/>
        <w:spacing w:after="0" w:line="240" w:lineRule="auto"/>
        <w:jc w:val="both"/>
        <w:rPr>
          <w:rFonts w:asciiTheme="majorBidi" w:hAnsiTheme="majorBidi" w:cstheme="majorBidi"/>
          <w:sz w:val="20"/>
          <w:szCs w:val="20"/>
        </w:rPr>
      </w:pPr>
      <w:bookmarkStart w:id="4" w:name="_Hlk104108039"/>
      <w:r w:rsidRPr="00A04F02">
        <w:rPr>
          <w:rFonts w:asciiTheme="majorBidi" w:hAnsiTheme="majorBidi" w:cstheme="majorBidi"/>
          <w:b/>
          <w:bCs/>
          <w:sz w:val="20"/>
          <w:szCs w:val="20"/>
        </w:rPr>
        <w:t xml:space="preserve">JM. </w:t>
      </w:r>
      <w:proofErr w:type="spellStart"/>
      <w:r w:rsidRPr="00A04F02">
        <w:rPr>
          <w:rFonts w:asciiTheme="majorBidi" w:hAnsiTheme="majorBidi" w:cstheme="majorBidi"/>
          <w:b/>
          <w:bCs/>
          <w:sz w:val="20"/>
          <w:szCs w:val="20"/>
        </w:rPr>
        <w:t>Catheline</w:t>
      </w:r>
      <w:bookmarkEnd w:id="4"/>
      <w:proofErr w:type="spellEnd"/>
      <w:r w:rsidRPr="00A04F02">
        <w:rPr>
          <w:rFonts w:asciiTheme="majorBidi" w:hAnsiTheme="majorBidi" w:cstheme="majorBidi"/>
          <w:b/>
          <w:bCs/>
          <w:sz w:val="20"/>
          <w:szCs w:val="20"/>
        </w:rPr>
        <w:t xml:space="preserve">, N. </w:t>
      </w:r>
      <w:proofErr w:type="spellStart"/>
      <w:r w:rsidRPr="00A04F02">
        <w:rPr>
          <w:rFonts w:asciiTheme="majorBidi" w:hAnsiTheme="majorBidi" w:cstheme="majorBidi"/>
          <w:b/>
          <w:bCs/>
          <w:sz w:val="20"/>
          <w:szCs w:val="20"/>
        </w:rPr>
        <w:t>Schoucair</w:t>
      </w:r>
      <w:proofErr w:type="spellEnd"/>
      <w:r w:rsidRPr="00A04F02">
        <w:rPr>
          <w:rFonts w:asciiTheme="majorBidi" w:hAnsiTheme="majorBidi" w:cstheme="majorBidi"/>
          <w:b/>
          <w:bCs/>
          <w:sz w:val="20"/>
          <w:szCs w:val="20"/>
        </w:rPr>
        <w:t xml:space="preserve">, R. </w:t>
      </w:r>
      <w:proofErr w:type="spellStart"/>
      <w:r w:rsidRPr="00A04F02">
        <w:rPr>
          <w:rFonts w:asciiTheme="majorBidi" w:hAnsiTheme="majorBidi" w:cstheme="majorBidi"/>
          <w:b/>
          <w:bCs/>
          <w:sz w:val="20"/>
          <w:szCs w:val="20"/>
        </w:rPr>
        <w:t>Dbouk</w:t>
      </w:r>
      <w:proofErr w:type="spellEnd"/>
      <w:r w:rsidRPr="00A04F02">
        <w:rPr>
          <w:rFonts w:asciiTheme="majorBidi" w:hAnsiTheme="majorBidi" w:cstheme="majorBidi"/>
          <w:b/>
          <w:bCs/>
          <w:sz w:val="20"/>
          <w:szCs w:val="20"/>
        </w:rPr>
        <w:t xml:space="preserve">, T. </w:t>
      </w:r>
      <w:proofErr w:type="spellStart"/>
      <w:r w:rsidRPr="00A04F02">
        <w:rPr>
          <w:rFonts w:asciiTheme="majorBidi" w:hAnsiTheme="majorBidi" w:cstheme="majorBidi"/>
          <w:b/>
          <w:bCs/>
          <w:sz w:val="20"/>
          <w:szCs w:val="20"/>
        </w:rPr>
        <w:t>Bendacha</w:t>
      </w:r>
      <w:proofErr w:type="spellEnd"/>
      <w:r w:rsidRPr="00A04F02">
        <w:rPr>
          <w:rFonts w:asciiTheme="majorBidi" w:hAnsiTheme="majorBidi" w:cstheme="majorBidi"/>
          <w:b/>
          <w:bCs/>
          <w:sz w:val="20"/>
          <w:szCs w:val="20"/>
        </w:rPr>
        <w:t xml:space="preserve">, R. Romero, C. </w:t>
      </w:r>
      <w:proofErr w:type="spellStart"/>
      <w:r w:rsidRPr="00A04F02">
        <w:rPr>
          <w:rFonts w:asciiTheme="majorBidi" w:hAnsiTheme="majorBidi" w:cstheme="majorBidi"/>
          <w:b/>
          <w:bCs/>
          <w:sz w:val="20"/>
          <w:szCs w:val="20"/>
        </w:rPr>
        <w:t>Bonnel</w:t>
      </w:r>
      <w:proofErr w:type="spellEnd"/>
      <w:r w:rsidRPr="00A04F02">
        <w:rPr>
          <w:rFonts w:asciiTheme="majorBidi" w:hAnsiTheme="majorBidi" w:cstheme="majorBidi"/>
          <w:b/>
          <w:bCs/>
          <w:sz w:val="20"/>
          <w:szCs w:val="20"/>
        </w:rPr>
        <w:t xml:space="preserve">, R. Cohen. </w:t>
      </w:r>
      <w:r w:rsidRPr="00A04F02">
        <w:rPr>
          <w:rFonts w:asciiTheme="majorBidi" w:hAnsiTheme="majorBidi" w:cstheme="majorBidi"/>
          <w:sz w:val="20"/>
          <w:szCs w:val="20"/>
        </w:rPr>
        <w:t xml:space="preserve">Eight-year results of laparoscopic sleeve gastrectomy. Ann </w:t>
      </w:r>
      <w:proofErr w:type="spellStart"/>
      <w:r w:rsidRPr="00A04F02">
        <w:rPr>
          <w:rFonts w:asciiTheme="majorBidi" w:hAnsiTheme="majorBidi" w:cstheme="majorBidi"/>
          <w:sz w:val="20"/>
          <w:szCs w:val="20"/>
        </w:rPr>
        <w:t>Obes</w:t>
      </w:r>
      <w:proofErr w:type="spellEnd"/>
      <w:r w:rsidRPr="00A04F02">
        <w:rPr>
          <w:rFonts w:asciiTheme="majorBidi" w:hAnsiTheme="majorBidi" w:cstheme="majorBidi"/>
          <w:sz w:val="20"/>
          <w:szCs w:val="20"/>
        </w:rPr>
        <w:t xml:space="preserve"> Disord.vol.2,pp.1020,2017.</w:t>
      </w:r>
    </w:p>
    <w:p w:rsidR="00291F91" w:rsidRPr="00A04F02" w:rsidRDefault="00291F91" w:rsidP="00291F91">
      <w:pPr>
        <w:pStyle w:val="a9"/>
        <w:numPr>
          <w:ilvl w:val="0"/>
          <w:numId w:val="23"/>
        </w:numPr>
        <w:autoSpaceDE w:val="0"/>
        <w:autoSpaceDN w:val="0"/>
        <w:bidi w:val="0"/>
        <w:adjustRightInd w:val="0"/>
        <w:spacing w:after="0" w:line="240" w:lineRule="auto"/>
        <w:jc w:val="both"/>
        <w:rPr>
          <w:rFonts w:asciiTheme="majorBidi" w:hAnsiTheme="majorBidi" w:cstheme="majorBidi"/>
          <w:sz w:val="20"/>
          <w:szCs w:val="20"/>
        </w:rPr>
      </w:pPr>
      <w:r w:rsidRPr="00A04F02">
        <w:rPr>
          <w:rFonts w:asciiTheme="majorBidi" w:hAnsiTheme="majorBidi" w:cstheme="majorBidi"/>
          <w:b/>
          <w:bCs/>
          <w:sz w:val="20"/>
          <w:szCs w:val="20"/>
        </w:rPr>
        <w:t xml:space="preserve">S. Santoro, CE. </w:t>
      </w:r>
      <w:proofErr w:type="spellStart"/>
      <w:r w:rsidRPr="00A04F02">
        <w:rPr>
          <w:rFonts w:asciiTheme="majorBidi" w:hAnsiTheme="majorBidi" w:cstheme="majorBidi"/>
          <w:b/>
          <w:bCs/>
          <w:sz w:val="20"/>
          <w:szCs w:val="20"/>
        </w:rPr>
        <w:t>Malzoni</w:t>
      </w:r>
      <w:proofErr w:type="spellEnd"/>
      <w:r w:rsidRPr="00A04F02">
        <w:rPr>
          <w:rFonts w:asciiTheme="majorBidi" w:hAnsiTheme="majorBidi" w:cstheme="majorBidi"/>
          <w:b/>
          <w:bCs/>
          <w:sz w:val="20"/>
          <w:szCs w:val="20"/>
        </w:rPr>
        <w:t xml:space="preserve">, MC. </w:t>
      </w:r>
      <w:proofErr w:type="spellStart"/>
      <w:r w:rsidRPr="00A04F02">
        <w:rPr>
          <w:rFonts w:asciiTheme="majorBidi" w:hAnsiTheme="majorBidi" w:cstheme="majorBidi"/>
          <w:b/>
          <w:bCs/>
          <w:sz w:val="20"/>
          <w:szCs w:val="20"/>
        </w:rPr>
        <w:t>Velhote</w:t>
      </w:r>
      <w:proofErr w:type="spellEnd"/>
      <w:r w:rsidRPr="00A04F02">
        <w:rPr>
          <w:rFonts w:asciiTheme="majorBidi" w:hAnsiTheme="majorBidi" w:cstheme="majorBidi"/>
          <w:b/>
          <w:bCs/>
          <w:sz w:val="20"/>
          <w:szCs w:val="20"/>
        </w:rPr>
        <w:t xml:space="preserve">, FQ. </w:t>
      </w:r>
      <w:proofErr w:type="spellStart"/>
      <w:r w:rsidRPr="00A04F02">
        <w:rPr>
          <w:rFonts w:asciiTheme="majorBidi" w:hAnsiTheme="majorBidi" w:cstheme="majorBidi"/>
          <w:b/>
          <w:bCs/>
          <w:sz w:val="20"/>
          <w:szCs w:val="20"/>
        </w:rPr>
        <w:t>Milleo</w:t>
      </w:r>
      <w:proofErr w:type="spellEnd"/>
      <w:r w:rsidRPr="00A04F02">
        <w:rPr>
          <w:rFonts w:asciiTheme="majorBidi" w:hAnsiTheme="majorBidi" w:cstheme="majorBidi"/>
          <w:b/>
          <w:bCs/>
          <w:sz w:val="20"/>
          <w:szCs w:val="20"/>
        </w:rPr>
        <w:t xml:space="preserve">, MA. Santo and S. </w:t>
      </w:r>
      <w:proofErr w:type="spellStart"/>
      <w:r w:rsidRPr="00A04F02">
        <w:rPr>
          <w:rFonts w:asciiTheme="majorBidi" w:hAnsiTheme="majorBidi" w:cstheme="majorBidi"/>
          <w:b/>
          <w:bCs/>
          <w:sz w:val="20"/>
          <w:szCs w:val="20"/>
        </w:rPr>
        <w:t>Klajner</w:t>
      </w:r>
      <w:proofErr w:type="spellEnd"/>
      <w:r w:rsidRPr="00A04F02">
        <w:rPr>
          <w:rFonts w:asciiTheme="majorBidi" w:hAnsiTheme="majorBidi" w:cstheme="majorBidi"/>
          <w:b/>
          <w:bCs/>
          <w:sz w:val="20"/>
          <w:szCs w:val="20"/>
        </w:rPr>
        <w:t xml:space="preserve">. </w:t>
      </w:r>
      <w:r w:rsidRPr="00A04F02">
        <w:rPr>
          <w:rFonts w:asciiTheme="majorBidi" w:hAnsiTheme="majorBidi" w:cstheme="majorBidi"/>
          <w:sz w:val="20"/>
          <w:szCs w:val="20"/>
        </w:rPr>
        <w:t xml:space="preserve"> Digestive adaptation with intestinal reserve: a </w:t>
      </w:r>
      <w:proofErr w:type="spellStart"/>
      <w:r w:rsidRPr="00A04F02">
        <w:rPr>
          <w:rFonts w:asciiTheme="majorBidi" w:hAnsiTheme="majorBidi" w:cstheme="majorBidi"/>
          <w:sz w:val="20"/>
          <w:szCs w:val="20"/>
        </w:rPr>
        <w:t>neuroendocrinebased</w:t>
      </w:r>
      <w:proofErr w:type="spellEnd"/>
      <w:r w:rsidRPr="00A04F02">
        <w:rPr>
          <w:rFonts w:asciiTheme="majorBidi" w:hAnsiTheme="majorBidi" w:cstheme="majorBidi"/>
          <w:sz w:val="20"/>
          <w:szCs w:val="20"/>
        </w:rPr>
        <w:t xml:space="preserve"> operation for morbid obesity. </w:t>
      </w:r>
      <w:proofErr w:type="spellStart"/>
      <w:r w:rsidRPr="00A04F02">
        <w:rPr>
          <w:rFonts w:asciiTheme="majorBidi" w:hAnsiTheme="majorBidi" w:cstheme="majorBidi"/>
          <w:sz w:val="20"/>
          <w:szCs w:val="20"/>
        </w:rPr>
        <w:t>Obes</w:t>
      </w:r>
      <w:proofErr w:type="spellEnd"/>
      <w:r w:rsidRPr="00A04F02">
        <w:rPr>
          <w:rFonts w:asciiTheme="majorBidi" w:hAnsiTheme="majorBidi" w:cstheme="majorBidi"/>
          <w:sz w:val="20"/>
          <w:szCs w:val="20"/>
        </w:rPr>
        <w:t xml:space="preserve"> Surg.vol.16,pp.1371–1379,2016.</w:t>
      </w:r>
    </w:p>
    <w:p w:rsidR="00291F91" w:rsidRPr="00A04F02" w:rsidRDefault="00291F91" w:rsidP="00291F91">
      <w:pPr>
        <w:pStyle w:val="a9"/>
        <w:numPr>
          <w:ilvl w:val="0"/>
          <w:numId w:val="23"/>
        </w:numPr>
        <w:bidi w:val="0"/>
        <w:spacing w:after="0" w:line="240" w:lineRule="auto"/>
        <w:jc w:val="both"/>
        <w:rPr>
          <w:rFonts w:asciiTheme="majorBidi" w:hAnsiTheme="majorBidi" w:cs="Times New Roman"/>
          <w:sz w:val="20"/>
          <w:szCs w:val="20"/>
          <w:shd w:val="clear" w:color="auto" w:fill="FFFFFF"/>
        </w:rPr>
      </w:pPr>
      <w:bookmarkStart w:id="5" w:name="_Hlk114689864"/>
      <w:r w:rsidRPr="00A04F02">
        <w:rPr>
          <w:rFonts w:asciiTheme="majorBidi" w:hAnsiTheme="majorBidi" w:cs="Times New Roman"/>
          <w:b/>
          <w:bCs/>
          <w:sz w:val="20"/>
          <w:szCs w:val="20"/>
          <w:shd w:val="clear" w:color="auto" w:fill="FFFFFF"/>
        </w:rPr>
        <w:t>Emile</w:t>
      </w:r>
      <w:bookmarkEnd w:id="5"/>
      <w:r w:rsidRPr="00A04F02">
        <w:rPr>
          <w:rFonts w:asciiTheme="majorBidi" w:hAnsiTheme="majorBidi" w:cs="Times New Roman"/>
          <w:b/>
          <w:bCs/>
          <w:sz w:val="20"/>
          <w:szCs w:val="20"/>
          <w:shd w:val="clear" w:color="auto" w:fill="FFFFFF"/>
        </w:rPr>
        <w:t xml:space="preserve">, S. H., </w:t>
      </w:r>
      <w:proofErr w:type="spellStart"/>
      <w:r w:rsidRPr="00A04F02">
        <w:rPr>
          <w:rFonts w:asciiTheme="majorBidi" w:hAnsiTheme="majorBidi" w:cs="Times New Roman"/>
          <w:b/>
          <w:bCs/>
          <w:sz w:val="20"/>
          <w:szCs w:val="20"/>
          <w:shd w:val="clear" w:color="auto" w:fill="FFFFFF"/>
        </w:rPr>
        <w:t>Madyan</w:t>
      </w:r>
      <w:proofErr w:type="spellEnd"/>
      <w:r w:rsidRPr="00A04F02">
        <w:rPr>
          <w:rFonts w:asciiTheme="majorBidi" w:hAnsiTheme="majorBidi" w:cs="Times New Roman"/>
          <w:b/>
          <w:bCs/>
          <w:sz w:val="20"/>
          <w:szCs w:val="20"/>
          <w:shd w:val="clear" w:color="auto" w:fill="FFFFFF"/>
        </w:rPr>
        <w:t xml:space="preserve">, A., </w:t>
      </w:r>
      <w:proofErr w:type="spellStart"/>
      <w:r w:rsidRPr="00A04F02">
        <w:rPr>
          <w:rFonts w:asciiTheme="majorBidi" w:hAnsiTheme="majorBidi" w:cs="Times New Roman"/>
          <w:b/>
          <w:bCs/>
          <w:sz w:val="20"/>
          <w:szCs w:val="20"/>
          <w:shd w:val="clear" w:color="auto" w:fill="FFFFFF"/>
        </w:rPr>
        <w:t>Mahdy</w:t>
      </w:r>
      <w:proofErr w:type="spellEnd"/>
      <w:r w:rsidRPr="00A04F02">
        <w:rPr>
          <w:rFonts w:asciiTheme="majorBidi" w:hAnsiTheme="majorBidi" w:cs="Times New Roman"/>
          <w:b/>
          <w:bCs/>
          <w:sz w:val="20"/>
          <w:szCs w:val="20"/>
          <w:shd w:val="clear" w:color="auto" w:fill="FFFFFF"/>
        </w:rPr>
        <w:t xml:space="preserve">, T., </w:t>
      </w:r>
      <w:proofErr w:type="spellStart"/>
      <w:r w:rsidRPr="00A04F02">
        <w:rPr>
          <w:rFonts w:asciiTheme="majorBidi" w:hAnsiTheme="majorBidi" w:cs="Times New Roman"/>
          <w:b/>
          <w:bCs/>
          <w:sz w:val="20"/>
          <w:szCs w:val="20"/>
          <w:shd w:val="clear" w:color="auto" w:fill="FFFFFF"/>
        </w:rPr>
        <w:t>Elshobaky</w:t>
      </w:r>
      <w:proofErr w:type="spellEnd"/>
      <w:r w:rsidRPr="00A04F02">
        <w:rPr>
          <w:rFonts w:asciiTheme="majorBidi" w:hAnsiTheme="majorBidi" w:cs="Times New Roman"/>
          <w:b/>
          <w:bCs/>
          <w:sz w:val="20"/>
          <w:szCs w:val="20"/>
          <w:shd w:val="clear" w:color="auto" w:fill="FFFFFF"/>
        </w:rPr>
        <w:t xml:space="preserve">, A., </w:t>
      </w:r>
      <w:proofErr w:type="spellStart"/>
      <w:r w:rsidRPr="00A04F02">
        <w:rPr>
          <w:rFonts w:asciiTheme="majorBidi" w:hAnsiTheme="majorBidi" w:cs="Times New Roman"/>
          <w:b/>
          <w:bCs/>
          <w:sz w:val="20"/>
          <w:szCs w:val="20"/>
          <w:shd w:val="clear" w:color="auto" w:fill="FFFFFF"/>
        </w:rPr>
        <w:t>Elbanna</w:t>
      </w:r>
      <w:proofErr w:type="spellEnd"/>
      <w:r w:rsidRPr="00A04F02">
        <w:rPr>
          <w:rFonts w:asciiTheme="majorBidi" w:hAnsiTheme="majorBidi" w:cs="Times New Roman"/>
          <w:b/>
          <w:bCs/>
          <w:sz w:val="20"/>
          <w:szCs w:val="20"/>
          <w:shd w:val="clear" w:color="auto" w:fill="FFFFFF"/>
        </w:rPr>
        <w:t>, H. G., &amp; Abdel-</w:t>
      </w:r>
      <w:proofErr w:type="spellStart"/>
      <w:r w:rsidRPr="00A04F02">
        <w:rPr>
          <w:rFonts w:asciiTheme="majorBidi" w:hAnsiTheme="majorBidi" w:cs="Times New Roman"/>
          <w:b/>
          <w:bCs/>
          <w:sz w:val="20"/>
          <w:szCs w:val="20"/>
          <w:shd w:val="clear" w:color="auto" w:fill="FFFFFF"/>
        </w:rPr>
        <w:t>Razik</w:t>
      </w:r>
      <w:proofErr w:type="spellEnd"/>
      <w:r w:rsidRPr="00A04F02">
        <w:rPr>
          <w:rFonts w:asciiTheme="majorBidi" w:hAnsiTheme="majorBidi" w:cs="Times New Roman"/>
          <w:b/>
          <w:bCs/>
          <w:sz w:val="20"/>
          <w:szCs w:val="20"/>
          <w:shd w:val="clear" w:color="auto" w:fill="FFFFFF"/>
        </w:rPr>
        <w:t xml:space="preserve">, M. A. (2021A). </w:t>
      </w:r>
      <w:r w:rsidRPr="00A04F02">
        <w:rPr>
          <w:rFonts w:asciiTheme="majorBidi" w:hAnsiTheme="majorBidi" w:cs="Times New Roman"/>
          <w:sz w:val="20"/>
          <w:szCs w:val="20"/>
          <w:shd w:val="clear" w:color="auto" w:fill="FFFFFF"/>
        </w:rPr>
        <w:t xml:space="preserve">Single anastomosis sleeve ileal </w:t>
      </w:r>
      <w:r w:rsidRPr="00A04F02">
        <w:rPr>
          <w:rFonts w:asciiTheme="majorBidi" w:hAnsiTheme="majorBidi" w:cs="Times New Roman"/>
          <w:sz w:val="20"/>
          <w:szCs w:val="20"/>
          <w:shd w:val="clear" w:color="auto" w:fill="FFFFFF"/>
        </w:rPr>
        <w:lastRenderedPageBreak/>
        <w:t>(SASI) bypass versus sleeve gastrectomy: a case-matched multicenter study. Surgical Endoscopy, 35(2), 652-660.</w:t>
      </w:r>
    </w:p>
    <w:p w:rsidR="00291F91" w:rsidRPr="00A04F02" w:rsidRDefault="00291F91" w:rsidP="00291F91">
      <w:pPr>
        <w:pStyle w:val="a9"/>
        <w:numPr>
          <w:ilvl w:val="0"/>
          <w:numId w:val="23"/>
        </w:numPr>
        <w:bidi w:val="0"/>
        <w:spacing w:after="0" w:line="240" w:lineRule="auto"/>
        <w:jc w:val="both"/>
        <w:rPr>
          <w:rFonts w:asciiTheme="majorBidi" w:hAnsiTheme="majorBidi" w:cs="Times New Roman"/>
          <w:sz w:val="20"/>
          <w:szCs w:val="20"/>
          <w:shd w:val="clear" w:color="auto" w:fill="FFFFFF"/>
        </w:rPr>
      </w:pPr>
      <w:bookmarkStart w:id="6" w:name="_Hlk114692658"/>
      <w:proofErr w:type="spellStart"/>
      <w:r w:rsidRPr="00A04F02">
        <w:rPr>
          <w:rFonts w:asciiTheme="majorBidi" w:hAnsiTheme="majorBidi" w:cs="Times New Roman"/>
          <w:b/>
          <w:bCs/>
          <w:sz w:val="20"/>
          <w:szCs w:val="20"/>
          <w:shd w:val="clear" w:color="auto" w:fill="FFFFFF"/>
        </w:rPr>
        <w:t>Abdalaziz</w:t>
      </w:r>
      <w:bookmarkEnd w:id="6"/>
      <w:proofErr w:type="spellEnd"/>
      <w:r w:rsidRPr="00A04F02">
        <w:rPr>
          <w:rFonts w:asciiTheme="majorBidi" w:hAnsiTheme="majorBidi" w:cs="Times New Roman"/>
          <w:b/>
          <w:bCs/>
          <w:sz w:val="20"/>
          <w:szCs w:val="20"/>
          <w:shd w:val="clear" w:color="auto" w:fill="FFFFFF"/>
        </w:rPr>
        <w:t xml:space="preserve">, A., </w:t>
      </w:r>
      <w:proofErr w:type="spellStart"/>
      <w:r w:rsidRPr="00A04F02">
        <w:rPr>
          <w:rFonts w:asciiTheme="majorBidi" w:hAnsiTheme="majorBidi" w:cs="Times New Roman"/>
          <w:b/>
          <w:bCs/>
          <w:sz w:val="20"/>
          <w:szCs w:val="20"/>
          <w:shd w:val="clear" w:color="auto" w:fill="FFFFFF"/>
        </w:rPr>
        <w:t>Sarhan</w:t>
      </w:r>
      <w:proofErr w:type="spellEnd"/>
      <w:r w:rsidRPr="00A04F02">
        <w:rPr>
          <w:rFonts w:asciiTheme="majorBidi" w:hAnsiTheme="majorBidi" w:cs="Times New Roman"/>
          <w:b/>
          <w:bCs/>
          <w:sz w:val="20"/>
          <w:szCs w:val="20"/>
          <w:shd w:val="clear" w:color="auto" w:fill="FFFFFF"/>
        </w:rPr>
        <w:t xml:space="preserve">, M. D., Abou-Eisha, H. A., </w:t>
      </w:r>
      <w:proofErr w:type="spellStart"/>
      <w:r w:rsidRPr="00A04F02">
        <w:rPr>
          <w:rFonts w:asciiTheme="majorBidi" w:hAnsiTheme="majorBidi" w:cs="Times New Roman"/>
          <w:b/>
          <w:bCs/>
          <w:sz w:val="20"/>
          <w:szCs w:val="20"/>
          <w:shd w:val="clear" w:color="auto" w:fill="FFFFFF"/>
        </w:rPr>
        <w:t>Abdelsalam</w:t>
      </w:r>
      <w:proofErr w:type="spellEnd"/>
      <w:r w:rsidRPr="00A04F02">
        <w:rPr>
          <w:rFonts w:asciiTheme="majorBidi" w:hAnsiTheme="majorBidi" w:cs="Times New Roman"/>
          <w:b/>
          <w:bCs/>
          <w:sz w:val="20"/>
          <w:szCs w:val="20"/>
          <w:shd w:val="clear" w:color="auto" w:fill="FFFFFF"/>
        </w:rPr>
        <w:t xml:space="preserve">, A., </w:t>
      </w:r>
      <w:proofErr w:type="spellStart"/>
      <w:r w:rsidRPr="00A04F02">
        <w:rPr>
          <w:rFonts w:asciiTheme="majorBidi" w:hAnsiTheme="majorBidi" w:cs="Times New Roman"/>
          <w:b/>
          <w:bCs/>
          <w:sz w:val="20"/>
          <w:szCs w:val="20"/>
          <w:shd w:val="clear" w:color="auto" w:fill="FFFFFF"/>
        </w:rPr>
        <w:t>Saqr</w:t>
      </w:r>
      <w:proofErr w:type="spellEnd"/>
      <w:r w:rsidRPr="00A04F02">
        <w:rPr>
          <w:rFonts w:asciiTheme="majorBidi" w:hAnsiTheme="majorBidi" w:cs="Times New Roman"/>
          <w:b/>
          <w:bCs/>
          <w:sz w:val="20"/>
          <w:szCs w:val="20"/>
          <w:shd w:val="clear" w:color="auto" w:fill="FFFFFF"/>
        </w:rPr>
        <w:t>, A., &amp; Fathy, E. (2022).</w:t>
      </w:r>
      <w:r w:rsidRPr="00A04F02">
        <w:rPr>
          <w:rFonts w:asciiTheme="majorBidi" w:hAnsiTheme="majorBidi" w:cs="Times New Roman"/>
          <w:sz w:val="20"/>
          <w:szCs w:val="20"/>
          <w:shd w:val="clear" w:color="auto" w:fill="FFFFFF"/>
        </w:rPr>
        <w:t xml:space="preserve"> Laparoscopic Single Anastomosis Sleeve Ileal Bypass with Follow-up of Weight Loss and Metabolic Impact. Open Access Macedonian Journal of Medical Sciences, 10(B), 1325-1331.</w:t>
      </w:r>
    </w:p>
    <w:p w:rsidR="00291F91" w:rsidRPr="00A04F02" w:rsidRDefault="00291F91" w:rsidP="00291F91">
      <w:pPr>
        <w:pStyle w:val="a9"/>
        <w:numPr>
          <w:ilvl w:val="0"/>
          <w:numId w:val="23"/>
        </w:numPr>
        <w:bidi w:val="0"/>
        <w:spacing w:after="0" w:line="240" w:lineRule="auto"/>
        <w:jc w:val="both"/>
        <w:rPr>
          <w:rFonts w:asciiTheme="majorBidi" w:hAnsiTheme="majorBidi" w:cs="Times New Roman"/>
          <w:sz w:val="20"/>
          <w:szCs w:val="20"/>
          <w:shd w:val="clear" w:color="auto" w:fill="FFFFFF"/>
        </w:rPr>
      </w:pPr>
      <w:bookmarkStart w:id="7" w:name="_Hlk114686992"/>
      <w:proofErr w:type="spellStart"/>
      <w:r w:rsidRPr="00A04F02">
        <w:rPr>
          <w:rFonts w:asciiTheme="majorBidi" w:hAnsiTheme="majorBidi" w:cs="Times New Roman"/>
          <w:b/>
          <w:bCs/>
          <w:sz w:val="20"/>
          <w:szCs w:val="20"/>
          <w:shd w:val="clear" w:color="auto" w:fill="FFFFFF"/>
        </w:rPr>
        <w:t>Elbanna</w:t>
      </w:r>
      <w:bookmarkEnd w:id="7"/>
      <w:proofErr w:type="spellEnd"/>
      <w:r w:rsidRPr="00A04F02">
        <w:rPr>
          <w:rFonts w:asciiTheme="majorBidi" w:hAnsiTheme="majorBidi" w:cs="Times New Roman"/>
          <w:b/>
          <w:bCs/>
          <w:sz w:val="20"/>
          <w:szCs w:val="20"/>
          <w:shd w:val="clear" w:color="auto" w:fill="FFFFFF"/>
        </w:rPr>
        <w:t xml:space="preserve">, H., </w:t>
      </w:r>
      <w:proofErr w:type="spellStart"/>
      <w:r w:rsidRPr="00A04F02">
        <w:rPr>
          <w:rFonts w:asciiTheme="majorBidi" w:hAnsiTheme="majorBidi" w:cs="Times New Roman"/>
          <w:b/>
          <w:bCs/>
          <w:sz w:val="20"/>
          <w:szCs w:val="20"/>
          <w:shd w:val="clear" w:color="auto" w:fill="FFFFFF"/>
        </w:rPr>
        <w:t>Ghnnam</w:t>
      </w:r>
      <w:proofErr w:type="spellEnd"/>
      <w:r w:rsidRPr="00A04F02">
        <w:rPr>
          <w:rFonts w:asciiTheme="majorBidi" w:hAnsiTheme="majorBidi" w:cs="Times New Roman"/>
          <w:b/>
          <w:bCs/>
          <w:sz w:val="20"/>
          <w:szCs w:val="20"/>
          <w:shd w:val="clear" w:color="auto" w:fill="FFFFFF"/>
        </w:rPr>
        <w:t xml:space="preserve">, W., </w:t>
      </w:r>
      <w:proofErr w:type="spellStart"/>
      <w:r w:rsidRPr="00A04F02">
        <w:rPr>
          <w:rFonts w:asciiTheme="majorBidi" w:hAnsiTheme="majorBidi" w:cs="Times New Roman"/>
          <w:b/>
          <w:bCs/>
          <w:sz w:val="20"/>
          <w:szCs w:val="20"/>
          <w:shd w:val="clear" w:color="auto" w:fill="FFFFFF"/>
        </w:rPr>
        <w:t>Negm</w:t>
      </w:r>
      <w:proofErr w:type="spellEnd"/>
      <w:r w:rsidRPr="00A04F02">
        <w:rPr>
          <w:rFonts w:asciiTheme="majorBidi" w:hAnsiTheme="majorBidi" w:cs="Times New Roman"/>
          <w:b/>
          <w:bCs/>
          <w:sz w:val="20"/>
          <w:szCs w:val="20"/>
          <w:shd w:val="clear" w:color="auto" w:fill="FFFFFF"/>
        </w:rPr>
        <w:t xml:space="preserve">, A., Youssef, T., Emile, S., El </w:t>
      </w:r>
      <w:proofErr w:type="spellStart"/>
      <w:r w:rsidRPr="00A04F02">
        <w:rPr>
          <w:rFonts w:asciiTheme="majorBidi" w:hAnsiTheme="majorBidi" w:cs="Times New Roman"/>
          <w:b/>
          <w:bCs/>
          <w:sz w:val="20"/>
          <w:szCs w:val="20"/>
          <w:shd w:val="clear" w:color="auto" w:fill="FFFFFF"/>
        </w:rPr>
        <w:t>Metwally</w:t>
      </w:r>
      <w:proofErr w:type="spellEnd"/>
      <w:r w:rsidRPr="00A04F02">
        <w:rPr>
          <w:rFonts w:asciiTheme="majorBidi" w:hAnsiTheme="majorBidi" w:cs="Times New Roman"/>
          <w:b/>
          <w:bCs/>
          <w:sz w:val="20"/>
          <w:szCs w:val="20"/>
          <w:shd w:val="clear" w:color="auto" w:fill="FFFFFF"/>
        </w:rPr>
        <w:t xml:space="preserve">, T., &amp; </w:t>
      </w:r>
      <w:proofErr w:type="spellStart"/>
      <w:r w:rsidRPr="00A04F02">
        <w:rPr>
          <w:rFonts w:asciiTheme="majorBidi" w:hAnsiTheme="majorBidi" w:cs="Times New Roman"/>
          <w:b/>
          <w:bCs/>
          <w:sz w:val="20"/>
          <w:szCs w:val="20"/>
          <w:shd w:val="clear" w:color="auto" w:fill="FFFFFF"/>
        </w:rPr>
        <w:t>Elalfy</w:t>
      </w:r>
      <w:proofErr w:type="spellEnd"/>
      <w:r w:rsidRPr="00A04F02">
        <w:rPr>
          <w:rFonts w:asciiTheme="majorBidi" w:hAnsiTheme="majorBidi" w:cs="Times New Roman"/>
          <w:b/>
          <w:bCs/>
          <w:sz w:val="20"/>
          <w:szCs w:val="20"/>
          <w:shd w:val="clear" w:color="auto" w:fill="FFFFFF"/>
        </w:rPr>
        <w:t>, K. (2016).</w:t>
      </w:r>
      <w:r w:rsidRPr="00A04F02">
        <w:rPr>
          <w:rFonts w:asciiTheme="majorBidi" w:hAnsiTheme="majorBidi" w:cs="Times New Roman"/>
          <w:sz w:val="20"/>
          <w:szCs w:val="20"/>
          <w:shd w:val="clear" w:color="auto" w:fill="FFFFFF"/>
        </w:rPr>
        <w:t xml:space="preserve"> Impact of preoperative body mass index on the final outcome after laparoscopic sleeve gastrectomy for morbid obesity. Turkish Journal of Surgery/</w:t>
      </w:r>
      <w:proofErr w:type="spellStart"/>
      <w:r w:rsidRPr="00A04F02">
        <w:rPr>
          <w:rFonts w:asciiTheme="majorBidi" w:hAnsiTheme="majorBidi" w:cs="Times New Roman"/>
          <w:sz w:val="20"/>
          <w:szCs w:val="20"/>
          <w:shd w:val="clear" w:color="auto" w:fill="FFFFFF"/>
        </w:rPr>
        <w:t>Ulusal</w:t>
      </w:r>
      <w:proofErr w:type="spellEnd"/>
      <w:r w:rsidRPr="00A04F02">
        <w:rPr>
          <w:rFonts w:asciiTheme="majorBidi" w:hAnsiTheme="majorBidi" w:cs="Times New Roman"/>
          <w:sz w:val="20"/>
          <w:szCs w:val="20"/>
          <w:shd w:val="clear" w:color="auto" w:fill="FFFFFF"/>
        </w:rPr>
        <w:t xml:space="preserve"> </w:t>
      </w:r>
      <w:proofErr w:type="spellStart"/>
      <w:r w:rsidRPr="00A04F02">
        <w:rPr>
          <w:rFonts w:asciiTheme="majorBidi" w:hAnsiTheme="majorBidi" w:cs="Times New Roman"/>
          <w:sz w:val="20"/>
          <w:szCs w:val="20"/>
          <w:shd w:val="clear" w:color="auto" w:fill="FFFFFF"/>
        </w:rPr>
        <w:t>Cerrahi</w:t>
      </w:r>
      <w:proofErr w:type="spellEnd"/>
      <w:r w:rsidRPr="00A04F02">
        <w:rPr>
          <w:rFonts w:asciiTheme="majorBidi" w:hAnsiTheme="majorBidi" w:cs="Times New Roman"/>
          <w:sz w:val="20"/>
          <w:szCs w:val="20"/>
          <w:shd w:val="clear" w:color="auto" w:fill="FFFFFF"/>
        </w:rPr>
        <w:t xml:space="preserve"> </w:t>
      </w:r>
      <w:proofErr w:type="spellStart"/>
      <w:r w:rsidRPr="00A04F02">
        <w:rPr>
          <w:rFonts w:asciiTheme="majorBidi" w:hAnsiTheme="majorBidi" w:cs="Times New Roman"/>
          <w:sz w:val="20"/>
          <w:szCs w:val="20"/>
          <w:shd w:val="clear" w:color="auto" w:fill="FFFFFF"/>
        </w:rPr>
        <w:t>Dergisi</w:t>
      </w:r>
      <w:proofErr w:type="spellEnd"/>
      <w:r w:rsidRPr="00A04F02">
        <w:rPr>
          <w:rFonts w:asciiTheme="majorBidi" w:hAnsiTheme="majorBidi" w:cs="Times New Roman"/>
          <w:sz w:val="20"/>
          <w:szCs w:val="20"/>
          <w:shd w:val="clear" w:color="auto" w:fill="FFFFFF"/>
        </w:rPr>
        <w:t>, 32(4), 238.</w:t>
      </w:r>
    </w:p>
    <w:p w:rsidR="00291F91" w:rsidRPr="00A04F02" w:rsidRDefault="00291F91" w:rsidP="00291F91">
      <w:pPr>
        <w:pStyle w:val="a9"/>
        <w:numPr>
          <w:ilvl w:val="0"/>
          <w:numId w:val="23"/>
        </w:numPr>
        <w:bidi w:val="0"/>
        <w:spacing w:after="0" w:line="240" w:lineRule="auto"/>
        <w:jc w:val="both"/>
        <w:rPr>
          <w:rFonts w:asciiTheme="majorBidi" w:hAnsiTheme="majorBidi" w:cs="Times New Roman"/>
          <w:sz w:val="20"/>
          <w:szCs w:val="20"/>
          <w:shd w:val="clear" w:color="auto" w:fill="FFFFFF"/>
        </w:rPr>
      </w:pPr>
      <w:bookmarkStart w:id="8" w:name="_Hlk114690954"/>
      <w:r w:rsidRPr="00A04F02">
        <w:rPr>
          <w:rFonts w:asciiTheme="majorBidi" w:hAnsiTheme="majorBidi" w:cs="Times New Roman"/>
          <w:b/>
          <w:bCs/>
          <w:sz w:val="20"/>
          <w:szCs w:val="20"/>
          <w:shd w:val="clear" w:color="auto" w:fill="FFFFFF"/>
        </w:rPr>
        <w:t>Wu</w:t>
      </w:r>
      <w:bookmarkEnd w:id="8"/>
      <w:r w:rsidRPr="00A04F02">
        <w:rPr>
          <w:rFonts w:asciiTheme="majorBidi" w:hAnsiTheme="majorBidi" w:cs="Times New Roman"/>
          <w:b/>
          <w:bCs/>
          <w:sz w:val="20"/>
          <w:szCs w:val="20"/>
          <w:shd w:val="clear" w:color="auto" w:fill="FFFFFF"/>
        </w:rPr>
        <w:t xml:space="preserve">, W., </w:t>
      </w:r>
      <w:proofErr w:type="spellStart"/>
      <w:r w:rsidRPr="00A04F02">
        <w:rPr>
          <w:rFonts w:asciiTheme="majorBidi" w:hAnsiTheme="majorBidi" w:cs="Times New Roman"/>
          <w:b/>
          <w:bCs/>
          <w:sz w:val="20"/>
          <w:szCs w:val="20"/>
          <w:shd w:val="clear" w:color="auto" w:fill="FFFFFF"/>
        </w:rPr>
        <w:t>Widjaja</w:t>
      </w:r>
      <w:proofErr w:type="spellEnd"/>
      <w:r w:rsidRPr="00A04F02">
        <w:rPr>
          <w:rFonts w:asciiTheme="majorBidi" w:hAnsiTheme="majorBidi" w:cs="Times New Roman"/>
          <w:b/>
          <w:bCs/>
          <w:sz w:val="20"/>
          <w:szCs w:val="20"/>
          <w:shd w:val="clear" w:color="auto" w:fill="FFFFFF"/>
        </w:rPr>
        <w:t xml:space="preserve">, J., Lu, S., Hong, J., Yao, L., &amp; Zhu, X. (2022). </w:t>
      </w:r>
      <w:r w:rsidRPr="00A04F02">
        <w:rPr>
          <w:rFonts w:asciiTheme="majorBidi" w:hAnsiTheme="majorBidi" w:cs="Times New Roman"/>
          <w:sz w:val="20"/>
          <w:szCs w:val="20"/>
          <w:shd w:val="clear" w:color="auto" w:fill="FFFFFF"/>
        </w:rPr>
        <w:t xml:space="preserve">Comparison of the Outcomes of Single Anastomosis </w:t>
      </w:r>
      <w:proofErr w:type="spellStart"/>
      <w:r w:rsidRPr="00A04F02">
        <w:rPr>
          <w:rFonts w:asciiTheme="majorBidi" w:hAnsiTheme="majorBidi" w:cs="Times New Roman"/>
          <w:sz w:val="20"/>
          <w:szCs w:val="20"/>
          <w:shd w:val="clear" w:color="auto" w:fill="FFFFFF"/>
        </w:rPr>
        <w:t>Duodeno</w:t>
      </w:r>
      <w:proofErr w:type="spellEnd"/>
      <w:r w:rsidRPr="00A04F02">
        <w:rPr>
          <w:rFonts w:asciiTheme="majorBidi" w:hAnsiTheme="majorBidi" w:cs="Times New Roman"/>
          <w:sz w:val="20"/>
          <w:szCs w:val="20"/>
          <w:shd w:val="clear" w:color="auto" w:fill="FFFFFF"/>
        </w:rPr>
        <w:t xml:space="preserve">-Ileostomy with Sleeve </w:t>
      </w:r>
      <w:proofErr w:type="spellStart"/>
      <w:r w:rsidRPr="00A04F02">
        <w:rPr>
          <w:rFonts w:asciiTheme="majorBidi" w:hAnsiTheme="majorBidi" w:cs="Times New Roman"/>
          <w:sz w:val="20"/>
          <w:szCs w:val="20"/>
          <w:shd w:val="clear" w:color="auto" w:fill="FFFFFF"/>
        </w:rPr>
        <w:t>Gastrectomy</w:t>
      </w:r>
      <w:proofErr w:type="spellEnd"/>
      <w:r w:rsidRPr="00A04F02">
        <w:rPr>
          <w:rFonts w:asciiTheme="majorBidi" w:hAnsiTheme="majorBidi" w:cs="Times New Roman"/>
          <w:sz w:val="20"/>
          <w:szCs w:val="20"/>
          <w:shd w:val="clear" w:color="auto" w:fill="FFFFFF"/>
        </w:rPr>
        <w:t xml:space="preserve"> (SADI-S), Single Anastomosis Sleeve Ileal (SASI) Bypass with Sleeve Gastrectomy, and Sleeve Gastrectomy Using a Rodent Model with Diabetes. Obesity Surgery, 32(4), 1209-1215.</w:t>
      </w:r>
    </w:p>
    <w:p w:rsidR="00291F91" w:rsidRPr="00A04F02" w:rsidRDefault="00291F91" w:rsidP="00291F91">
      <w:pPr>
        <w:pStyle w:val="a9"/>
        <w:numPr>
          <w:ilvl w:val="0"/>
          <w:numId w:val="23"/>
        </w:numPr>
        <w:bidi w:val="0"/>
        <w:spacing w:after="0" w:line="240" w:lineRule="auto"/>
        <w:jc w:val="both"/>
        <w:rPr>
          <w:rFonts w:asciiTheme="majorBidi" w:hAnsiTheme="majorBidi" w:cs="Times New Roman"/>
          <w:sz w:val="20"/>
          <w:szCs w:val="20"/>
          <w:shd w:val="clear" w:color="auto" w:fill="FFFFFF"/>
        </w:rPr>
      </w:pPr>
      <w:bookmarkStart w:id="9" w:name="_Hlk114690460"/>
      <w:proofErr w:type="spellStart"/>
      <w:r w:rsidRPr="00A04F02">
        <w:rPr>
          <w:rFonts w:asciiTheme="majorBidi" w:hAnsiTheme="majorBidi" w:cs="Times New Roman"/>
          <w:b/>
          <w:bCs/>
          <w:sz w:val="20"/>
          <w:szCs w:val="20"/>
          <w:shd w:val="clear" w:color="auto" w:fill="FFFFFF"/>
        </w:rPr>
        <w:t>Mahdy</w:t>
      </w:r>
      <w:bookmarkEnd w:id="9"/>
      <w:proofErr w:type="spellEnd"/>
      <w:r w:rsidRPr="00A04F02">
        <w:rPr>
          <w:rFonts w:asciiTheme="majorBidi" w:hAnsiTheme="majorBidi" w:cs="Times New Roman"/>
          <w:b/>
          <w:bCs/>
          <w:sz w:val="20"/>
          <w:szCs w:val="20"/>
          <w:shd w:val="clear" w:color="auto" w:fill="FFFFFF"/>
        </w:rPr>
        <w:t xml:space="preserve">, T., </w:t>
      </w:r>
      <w:proofErr w:type="spellStart"/>
      <w:r w:rsidRPr="00A04F02">
        <w:rPr>
          <w:rFonts w:asciiTheme="majorBidi" w:hAnsiTheme="majorBidi" w:cs="Times New Roman"/>
          <w:b/>
          <w:bCs/>
          <w:sz w:val="20"/>
          <w:szCs w:val="20"/>
          <w:shd w:val="clear" w:color="auto" w:fill="FFFFFF"/>
        </w:rPr>
        <w:t>Gado</w:t>
      </w:r>
      <w:proofErr w:type="spellEnd"/>
      <w:r w:rsidRPr="00A04F02">
        <w:rPr>
          <w:rFonts w:asciiTheme="majorBidi" w:hAnsiTheme="majorBidi" w:cs="Times New Roman"/>
          <w:b/>
          <w:bCs/>
          <w:sz w:val="20"/>
          <w:szCs w:val="20"/>
          <w:shd w:val="clear" w:color="auto" w:fill="FFFFFF"/>
        </w:rPr>
        <w:t xml:space="preserve">, W., </w:t>
      </w:r>
      <w:proofErr w:type="spellStart"/>
      <w:r w:rsidRPr="00A04F02">
        <w:rPr>
          <w:rFonts w:asciiTheme="majorBidi" w:hAnsiTheme="majorBidi" w:cs="Times New Roman"/>
          <w:b/>
          <w:bCs/>
          <w:sz w:val="20"/>
          <w:szCs w:val="20"/>
          <w:shd w:val="clear" w:color="auto" w:fill="FFFFFF"/>
        </w:rPr>
        <w:t>Alwahidi</w:t>
      </w:r>
      <w:proofErr w:type="spellEnd"/>
      <w:r w:rsidRPr="00A04F02">
        <w:rPr>
          <w:rFonts w:asciiTheme="majorBidi" w:hAnsiTheme="majorBidi" w:cs="Times New Roman"/>
          <w:b/>
          <w:bCs/>
          <w:sz w:val="20"/>
          <w:szCs w:val="20"/>
          <w:shd w:val="clear" w:color="auto" w:fill="FFFFFF"/>
        </w:rPr>
        <w:t xml:space="preserve">, A., </w:t>
      </w:r>
      <w:proofErr w:type="spellStart"/>
      <w:r w:rsidRPr="00A04F02">
        <w:rPr>
          <w:rFonts w:asciiTheme="majorBidi" w:hAnsiTheme="majorBidi" w:cs="Times New Roman"/>
          <w:b/>
          <w:bCs/>
          <w:sz w:val="20"/>
          <w:szCs w:val="20"/>
          <w:shd w:val="clear" w:color="auto" w:fill="FFFFFF"/>
        </w:rPr>
        <w:t>Schou</w:t>
      </w:r>
      <w:proofErr w:type="spellEnd"/>
      <w:r w:rsidRPr="00A04F02">
        <w:rPr>
          <w:rFonts w:asciiTheme="majorBidi" w:hAnsiTheme="majorBidi" w:cs="Times New Roman"/>
          <w:b/>
          <w:bCs/>
          <w:sz w:val="20"/>
          <w:szCs w:val="20"/>
          <w:shd w:val="clear" w:color="auto" w:fill="FFFFFF"/>
        </w:rPr>
        <w:t>, C., &amp; Emile, S. H. (2021).</w:t>
      </w:r>
      <w:r w:rsidRPr="00A04F02">
        <w:rPr>
          <w:rFonts w:asciiTheme="majorBidi" w:hAnsiTheme="majorBidi" w:cs="Times New Roman"/>
          <w:sz w:val="20"/>
          <w:szCs w:val="20"/>
          <w:shd w:val="clear" w:color="auto" w:fill="FFFFFF"/>
        </w:rPr>
        <w:t xml:space="preserve"> Sleeve gastrectomy, one-anastomosis gastric bypass (OAGB), and single anastomosis sleeve ileal (SASI) bypass in treatment of morbid obesity: a retrospective cohort study. Obesity Surgery, 31(4), 1579-1589.</w:t>
      </w:r>
    </w:p>
    <w:p w:rsidR="00291F91" w:rsidRPr="00A04F02" w:rsidRDefault="00291F91" w:rsidP="00291F91">
      <w:pPr>
        <w:pStyle w:val="a9"/>
        <w:numPr>
          <w:ilvl w:val="0"/>
          <w:numId w:val="23"/>
        </w:numPr>
        <w:bidi w:val="0"/>
        <w:spacing w:after="0" w:line="240" w:lineRule="auto"/>
        <w:jc w:val="both"/>
        <w:rPr>
          <w:rFonts w:asciiTheme="majorBidi" w:hAnsiTheme="majorBidi" w:cs="Times New Roman"/>
          <w:sz w:val="20"/>
          <w:szCs w:val="20"/>
          <w:shd w:val="clear" w:color="auto" w:fill="FFFFFF"/>
        </w:rPr>
      </w:pPr>
      <w:bookmarkStart w:id="10" w:name="_Hlk114746304"/>
      <w:r w:rsidRPr="00A04F02">
        <w:rPr>
          <w:rFonts w:asciiTheme="majorBidi" w:hAnsiTheme="majorBidi" w:cs="Times New Roman"/>
          <w:b/>
          <w:bCs/>
          <w:sz w:val="20"/>
          <w:szCs w:val="20"/>
          <w:shd w:val="clear" w:color="auto" w:fill="FFFFFF"/>
        </w:rPr>
        <w:t>Emile</w:t>
      </w:r>
      <w:bookmarkEnd w:id="10"/>
      <w:r w:rsidRPr="00A04F02">
        <w:rPr>
          <w:rFonts w:asciiTheme="majorBidi" w:hAnsiTheme="majorBidi" w:cs="Times New Roman"/>
          <w:b/>
          <w:bCs/>
          <w:sz w:val="20"/>
          <w:szCs w:val="20"/>
          <w:shd w:val="clear" w:color="auto" w:fill="FFFFFF"/>
        </w:rPr>
        <w:t xml:space="preserve">, S. H., </w:t>
      </w:r>
      <w:proofErr w:type="spellStart"/>
      <w:r w:rsidRPr="00A04F02">
        <w:rPr>
          <w:rFonts w:asciiTheme="majorBidi" w:hAnsiTheme="majorBidi" w:cs="Times New Roman"/>
          <w:b/>
          <w:bCs/>
          <w:sz w:val="20"/>
          <w:szCs w:val="20"/>
          <w:shd w:val="clear" w:color="auto" w:fill="FFFFFF"/>
        </w:rPr>
        <w:t>Mahdy</w:t>
      </w:r>
      <w:proofErr w:type="spellEnd"/>
      <w:r w:rsidRPr="00A04F02">
        <w:rPr>
          <w:rFonts w:asciiTheme="majorBidi" w:hAnsiTheme="majorBidi" w:cs="Times New Roman"/>
          <w:b/>
          <w:bCs/>
          <w:sz w:val="20"/>
          <w:szCs w:val="20"/>
          <w:shd w:val="clear" w:color="auto" w:fill="FFFFFF"/>
        </w:rPr>
        <w:t xml:space="preserve">, T., </w:t>
      </w:r>
      <w:proofErr w:type="spellStart"/>
      <w:r w:rsidRPr="00A04F02">
        <w:rPr>
          <w:rFonts w:asciiTheme="majorBidi" w:hAnsiTheme="majorBidi" w:cs="Times New Roman"/>
          <w:b/>
          <w:bCs/>
          <w:sz w:val="20"/>
          <w:szCs w:val="20"/>
          <w:shd w:val="clear" w:color="auto" w:fill="FFFFFF"/>
        </w:rPr>
        <w:t>Schou</w:t>
      </w:r>
      <w:proofErr w:type="spellEnd"/>
      <w:r w:rsidRPr="00A04F02">
        <w:rPr>
          <w:rFonts w:asciiTheme="majorBidi" w:hAnsiTheme="majorBidi" w:cs="Times New Roman"/>
          <w:b/>
          <w:bCs/>
          <w:sz w:val="20"/>
          <w:szCs w:val="20"/>
          <w:shd w:val="clear" w:color="auto" w:fill="FFFFFF"/>
        </w:rPr>
        <w:t>, C., Kramer, M., &amp; Shikora, S. (2021B).</w:t>
      </w:r>
      <w:r w:rsidRPr="00A04F02">
        <w:rPr>
          <w:rFonts w:asciiTheme="majorBidi" w:hAnsiTheme="majorBidi" w:cs="Times New Roman"/>
          <w:sz w:val="20"/>
          <w:szCs w:val="20"/>
          <w:shd w:val="clear" w:color="auto" w:fill="FFFFFF"/>
        </w:rPr>
        <w:t xml:space="preserve"> Systematic review of the outcome of single-anastomosis sleeve ileal (SASI) bypass in treatment of morbid obesity with proportion meta-analysis of improvement in diabetes mellitus. International Journal of Surgery, 92, 106024.</w:t>
      </w:r>
    </w:p>
    <w:p w:rsidR="00291F91" w:rsidRPr="00A04F02" w:rsidRDefault="00291F91" w:rsidP="00291F91">
      <w:pPr>
        <w:pStyle w:val="a9"/>
        <w:numPr>
          <w:ilvl w:val="0"/>
          <w:numId w:val="23"/>
        </w:numPr>
        <w:bidi w:val="0"/>
        <w:spacing w:after="0" w:line="240" w:lineRule="auto"/>
        <w:jc w:val="both"/>
        <w:rPr>
          <w:rFonts w:asciiTheme="majorBidi" w:hAnsiTheme="majorBidi" w:cs="Times New Roman"/>
          <w:sz w:val="20"/>
          <w:szCs w:val="20"/>
          <w:shd w:val="clear" w:color="auto" w:fill="FFFFFF"/>
        </w:rPr>
      </w:pPr>
      <w:bookmarkStart w:id="11" w:name="_Hlk114747340"/>
      <w:proofErr w:type="spellStart"/>
      <w:r w:rsidRPr="00A04F02">
        <w:rPr>
          <w:rFonts w:asciiTheme="majorBidi" w:hAnsiTheme="majorBidi" w:cs="Times New Roman"/>
          <w:b/>
          <w:bCs/>
          <w:sz w:val="20"/>
          <w:szCs w:val="20"/>
          <w:shd w:val="clear" w:color="auto" w:fill="FFFFFF"/>
        </w:rPr>
        <w:t>Deabes</w:t>
      </w:r>
      <w:bookmarkEnd w:id="11"/>
      <w:proofErr w:type="spellEnd"/>
      <w:r w:rsidRPr="00A04F02">
        <w:rPr>
          <w:rFonts w:asciiTheme="majorBidi" w:hAnsiTheme="majorBidi" w:cs="Times New Roman"/>
          <w:b/>
          <w:bCs/>
          <w:sz w:val="20"/>
          <w:szCs w:val="20"/>
          <w:shd w:val="clear" w:color="auto" w:fill="FFFFFF"/>
        </w:rPr>
        <w:t xml:space="preserve">, M.S., </w:t>
      </w:r>
      <w:proofErr w:type="spellStart"/>
      <w:r w:rsidRPr="00A04F02">
        <w:rPr>
          <w:rFonts w:asciiTheme="majorBidi" w:hAnsiTheme="majorBidi" w:cs="Times New Roman"/>
          <w:b/>
          <w:bCs/>
          <w:sz w:val="20"/>
          <w:szCs w:val="20"/>
          <w:shd w:val="clear" w:color="auto" w:fill="FFFFFF"/>
        </w:rPr>
        <w:t>Abd-Elal</w:t>
      </w:r>
      <w:proofErr w:type="spellEnd"/>
      <w:r w:rsidRPr="00A04F02">
        <w:rPr>
          <w:rFonts w:asciiTheme="majorBidi" w:hAnsiTheme="majorBidi" w:cs="Times New Roman"/>
          <w:b/>
          <w:bCs/>
          <w:sz w:val="20"/>
          <w:szCs w:val="20"/>
          <w:shd w:val="clear" w:color="auto" w:fill="FFFFFF"/>
        </w:rPr>
        <w:t xml:space="preserve"> </w:t>
      </w:r>
      <w:proofErr w:type="spellStart"/>
      <w:r w:rsidRPr="00A04F02">
        <w:rPr>
          <w:rFonts w:asciiTheme="majorBidi" w:hAnsiTheme="majorBidi" w:cs="Times New Roman"/>
          <w:b/>
          <w:bCs/>
          <w:sz w:val="20"/>
          <w:szCs w:val="20"/>
          <w:shd w:val="clear" w:color="auto" w:fill="FFFFFF"/>
        </w:rPr>
        <w:t>Nafh</w:t>
      </w:r>
      <w:proofErr w:type="spellEnd"/>
      <w:r w:rsidRPr="00A04F02">
        <w:rPr>
          <w:rFonts w:asciiTheme="majorBidi" w:hAnsiTheme="majorBidi" w:cs="Times New Roman"/>
          <w:b/>
          <w:bCs/>
          <w:sz w:val="20"/>
          <w:szCs w:val="20"/>
          <w:shd w:val="clear" w:color="auto" w:fill="FFFFFF"/>
        </w:rPr>
        <w:t>, M., &amp; Mohamed Salem Yehia, A. (2020).</w:t>
      </w:r>
      <w:r w:rsidRPr="00A04F02">
        <w:rPr>
          <w:rFonts w:asciiTheme="majorBidi" w:hAnsiTheme="majorBidi" w:cs="Times New Roman"/>
          <w:sz w:val="20"/>
          <w:szCs w:val="20"/>
          <w:shd w:val="clear" w:color="auto" w:fill="FFFFFF"/>
        </w:rPr>
        <w:t xml:space="preserve"> Comparative study OF outcomes between laparoscopic single anastomosis sleeve ileum bypass (SASI bypass) versus laparoscopic mini-gastric bypass IN morbid obese patients. Al-Azhar Medical Journal, 49(3), 957-970.</w:t>
      </w:r>
    </w:p>
    <w:p w:rsidR="00291F91" w:rsidRPr="00A04F02" w:rsidRDefault="00291F91" w:rsidP="00291F91">
      <w:pPr>
        <w:pStyle w:val="a9"/>
        <w:numPr>
          <w:ilvl w:val="0"/>
          <w:numId w:val="23"/>
        </w:numPr>
        <w:bidi w:val="0"/>
        <w:spacing w:after="0" w:line="240" w:lineRule="auto"/>
        <w:jc w:val="both"/>
        <w:rPr>
          <w:rFonts w:asciiTheme="majorBidi" w:hAnsiTheme="majorBidi" w:cs="Times New Roman"/>
          <w:sz w:val="20"/>
          <w:szCs w:val="20"/>
          <w:shd w:val="clear" w:color="auto" w:fill="FFFFFF"/>
        </w:rPr>
      </w:pPr>
      <w:bookmarkStart w:id="12" w:name="_Hlk114746918"/>
      <w:proofErr w:type="spellStart"/>
      <w:r w:rsidRPr="00A04F02">
        <w:rPr>
          <w:rFonts w:asciiTheme="majorBidi" w:hAnsiTheme="majorBidi" w:cs="Times New Roman"/>
          <w:b/>
          <w:bCs/>
          <w:sz w:val="20"/>
          <w:szCs w:val="20"/>
          <w:shd w:val="clear" w:color="auto" w:fill="FFFFFF"/>
        </w:rPr>
        <w:t>Moustafa</w:t>
      </w:r>
      <w:bookmarkEnd w:id="12"/>
      <w:proofErr w:type="spellEnd"/>
      <w:r w:rsidRPr="00A04F02">
        <w:rPr>
          <w:rFonts w:asciiTheme="majorBidi" w:hAnsiTheme="majorBidi" w:cs="Times New Roman"/>
          <w:b/>
          <w:bCs/>
          <w:sz w:val="20"/>
          <w:szCs w:val="20"/>
          <w:shd w:val="clear" w:color="auto" w:fill="FFFFFF"/>
        </w:rPr>
        <w:t xml:space="preserve">, A. A., Said, T. M., </w:t>
      </w:r>
      <w:proofErr w:type="spellStart"/>
      <w:r w:rsidRPr="00A04F02">
        <w:rPr>
          <w:rFonts w:asciiTheme="majorBidi" w:hAnsiTheme="majorBidi" w:cs="Times New Roman"/>
          <w:b/>
          <w:bCs/>
          <w:sz w:val="20"/>
          <w:szCs w:val="20"/>
          <w:shd w:val="clear" w:color="auto" w:fill="FFFFFF"/>
        </w:rPr>
        <w:t>Alfouly</w:t>
      </w:r>
      <w:proofErr w:type="spellEnd"/>
      <w:r w:rsidRPr="00A04F02">
        <w:rPr>
          <w:rFonts w:asciiTheme="majorBidi" w:hAnsiTheme="majorBidi" w:cs="Times New Roman"/>
          <w:b/>
          <w:bCs/>
          <w:sz w:val="20"/>
          <w:szCs w:val="20"/>
          <w:shd w:val="clear" w:color="auto" w:fill="FFFFFF"/>
        </w:rPr>
        <w:t xml:space="preserve">, M. G., &amp; </w:t>
      </w:r>
      <w:proofErr w:type="spellStart"/>
      <w:r w:rsidRPr="00A04F02">
        <w:rPr>
          <w:rFonts w:asciiTheme="majorBidi" w:hAnsiTheme="majorBidi" w:cs="Times New Roman"/>
          <w:b/>
          <w:bCs/>
          <w:sz w:val="20"/>
          <w:szCs w:val="20"/>
          <w:shd w:val="clear" w:color="auto" w:fill="FFFFFF"/>
        </w:rPr>
        <w:t>Abdelsalam</w:t>
      </w:r>
      <w:proofErr w:type="spellEnd"/>
      <w:r w:rsidRPr="00A04F02">
        <w:rPr>
          <w:rFonts w:asciiTheme="majorBidi" w:hAnsiTheme="majorBidi" w:cs="Times New Roman"/>
          <w:b/>
          <w:bCs/>
          <w:sz w:val="20"/>
          <w:szCs w:val="20"/>
          <w:shd w:val="clear" w:color="auto" w:fill="FFFFFF"/>
        </w:rPr>
        <w:t>, M. S. (2020).</w:t>
      </w:r>
      <w:r w:rsidRPr="00A04F02">
        <w:rPr>
          <w:rFonts w:asciiTheme="majorBidi" w:hAnsiTheme="majorBidi" w:cs="Times New Roman"/>
          <w:sz w:val="20"/>
          <w:szCs w:val="20"/>
          <w:shd w:val="clear" w:color="auto" w:fill="FFFFFF"/>
        </w:rPr>
        <w:t xml:space="preserve"> Comparative study </w:t>
      </w:r>
      <w:r w:rsidRPr="00A04F02">
        <w:rPr>
          <w:rFonts w:asciiTheme="majorBidi" w:hAnsiTheme="majorBidi" w:cs="Times New Roman"/>
          <w:sz w:val="20"/>
          <w:szCs w:val="20"/>
          <w:shd w:val="clear" w:color="auto" w:fill="FFFFFF"/>
        </w:rPr>
        <w:lastRenderedPageBreak/>
        <w:t xml:space="preserve">between single anastomosis sleeve </w:t>
      </w:r>
      <w:proofErr w:type="spellStart"/>
      <w:r w:rsidRPr="00A04F02">
        <w:rPr>
          <w:rFonts w:asciiTheme="majorBidi" w:hAnsiTheme="majorBidi" w:cs="Times New Roman"/>
          <w:sz w:val="20"/>
          <w:szCs w:val="20"/>
          <w:shd w:val="clear" w:color="auto" w:fill="FFFFFF"/>
        </w:rPr>
        <w:t>ileal</w:t>
      </w:r>
      <w:proofErr w:type="spellEnd"/>
      <w:r w:rsidRPr="00A04F02">
        <w:rPr>
          <w:rFonts w:asciiTheme="majorBidi" w:hAnsiTheme="majorBidi" w:cs="Times New Roman"/>
          <w:sz w:val="20"/>
          <w:szCs w:val="20"/>
          <w:shd w:val="clear" w:color="auto" w:fill="FFFFFF"/>
        </w:rPr>
        <w:t xml:space="preserve"> bypass and </w:t>
      </w:r>
      <w:proofErr w:type="spellStart"/>
      <w:r w:rsidRPr="00A04F02">
        <w:rPr>
          <w:rFonts w:asciiTheme="majorBidi" w:hAnsiTheme="majorBidi" w:cs="Times New Roman"/>
          <w:sz w:val="20"/>
          <w:szCs w:val="20"/>
          <w:shd w:val="clear" w:color="auto" w:fill="FFFFFF"/>
        </w:rPr>
        <w:t>minigastric</w:t>
      </w:r>
      <w:proofErr w:type="spellEnd"/>
      <w:r w:rsidRPr="00A04F02">
        <w:rPr>
          <w:rFonts w:asciiTheme="majorBidi" w:hAnsiTheme="majorBidi" w:cs="Times New Roman"/>
          <w:sz w:val="20"/>
          <w:szCs w:val="20"/>
          <w:shd w:val="clear" w:color="auto" w:fill="FFFFFF"/>
        </w:rPr>
        <w:t xml:space="preserve"> bypass and their effect on </w:t>
      </w:r>
      <w:proofErr w:type="spellStart"/>
      <w:r w:rsidRPr="00A04F02">
        <w:rPr>
          <w:rFonts w:asciiTheme="majorBidi" w:hAnsiTheme="majorBidi" w:cs="Times New Roman"/>
          <w:sz w:val="20"/>
          <w:szCs w:val="20"/>
          <w:shd w:val="clear" w:color="auto" w:fill="FFFFFF"/>
        </w:rPr>
        <w:t>haemoglobin</w:t>
      </w:r>
      <w:proofErr w:type="spellEnd"/>
      <w:r w:rsidRPr="00A04F02">
        <w:rPr>
          <w:rFonts w:asciiTheme="majorBidi" w:hAnsiTheme="majorBidi" w:cs="Times New Roman"/>
          <w:sz w:val="20"/>
          <w:szCs w:val="20"/>
          <w:shd w:val="clear" w:color="auto" w:fill="FFFFFF"/>
        </w:rPr>
        <w:t>, albumin, calcium and folate. Ain Shams Medical Journal, 71(2), 363-377.</w:t>
      </w:r>
    </w:p>
    <w:sectPr w:rsidR="00291F91" w:rsidRPr="00A04F02" w:rsidSect="005254AB">
      <w:type w:val="continuous"/>
      <w:pgSz w:w="11906" w:h="16838" w:code="9"/>
      <w:pgMar w:top="1440" w:right="1800" w:bottom="1440" w:left="1800" w:header="706" w:footer="706"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D5B" w:rsidRDefault="00D42D5B" w:rsidP="00450580">
      <w:pPr>
        <w:spacing w:after="0" w:line="240" w:lineRule="auto"/>
      </w:pPr>
      <w:r>
        <w:separator/>
      </w:r>
    </w:p>
  </w:endnote>
  <w:endnote w:type="continuationSeparator" w:id="0">
    <w:p w:rsidR="00D42D5B" w:rsidRDefault="00D42D5B" w:rsidP="0045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LT St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Dictum">
    <w:altName w:val="Calibri"/>
    <w:charset w:val="00"/>
    <w:family w:val="auto"/>
    <w:pitch w:val="default"/>
  </w:font>
  <w:font w:name="TimesNewRomanPSMT">
    <w:altName w:val="Times New Roman"/>
    <w:panose1 w:val="00000000000000000000"/>
    <w:charset w:val="00"/>
    <w:family w:val="roman"/>
    <w:notTrueType/>
    <w:pitch w:val="default"/>
  </w:font>
  <w:font w:name="Helvetica-Bold">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79" w:rsidRPr="009A4896" w:rsidRDefault="00406979" w:rsidP="009A4896">
    <w:pPr>
      <w:pBdr>
        <w:top w:val="single" w:sz="4" w:space="1" w:color="auto"/>
      </w:pBdr>
      <w:tabs>
        <w:tab w:val="center" w:pos="4680"/>
        <w:tab w:val="right" w:pos="9360"/>
      </w:tabs>
      <w:autoSpaceDE w:val="0"/>
      <w:autoSpaceDN w:val="0"/>
      <w:adjustRightInd w:val="0"/>
      <w:spacing w:after="0" w:line="240" w:lineRule="auto"/>
      <w:ind w:left="-5" w:hanging="10"/>
      <w:rPr>
        <w:rFonts w:ascii="Times New Roman" w:eastAsia="Times New Roman" w:hAnsi="Times New Roman" w:cs="Times New Roman"/>
        <w:b/>
        <w:bCs/>
        <w:color w:val="181717"/>
        <w:sz w:val="24"/>
        <w:szCs w:val="24"/>
        <w:rtl/>
        <w:lang w:bidi="ar-EG"/>
      </w:rPr>
    </w:pPr>
    <w:proofErr w:type="spellStart"/>
    <w:r w:rsidRPr="00696215">
      <w:rPr>
        <w:rFonts w:ascii="Times New Roman" w:eastAsia="Times New Roman" w:hAnsi="Times New Roman" w:cs="Times New Roman"/>
        <w:b/>
        <w:bCs/>
        <w:color w:val="181717"/>
        <w:sz w:val="20"/>
        <w:szCs w:val="20"/>
      </w:rPr>
      <w:t>Benha</w:t>
    </w:r>
    <w:proofErr w:type="spellEnd"/>
    <w:r w:rsidRPr="00696215">
      <w:rPr>
        <w:rFonts w:ascii="Times New Roman" w:eastAsia="Times New Roman" w:hAnsi="Times New Roman" w:cs="Times New Roman"/>
        <w:b/>
        <w:bCs/>
        <w:color w:val="181717"/>
        <w:sz w:val="20"/>
        <w:szCs w:val="20"/>
      </w:rPr>
      <w:t xml:space="preserve"> Journal Of Applied Sciences, Vol.(  ) Issue(  ) Oct.(202</w:t>
    </w:r>
    <w:r>
      <w:rPr>
        <w:rFonts w:ascii="Times New Roman" w:eastAsia="Times New Roman" w:hAnsi="Times New Roman" w:cs="Times New Roman"/>
        <w:b/>
        <w:bCs/>
        <w:color w:val="181717"/>
        <w:sz w:val="20"/>
        <w:szCs w:val="20"/>
      </w:rPr>
      <w:t>2</w:t>
    </w:r>
    <w:r w:rsidRPr="00696215">
      <w:rPr>
        <w:rFonts w:ascii="Times New Roman" w:eastAsia="Times New Roman" w:hAnsi="Times New Roman" w:cs="Times New Roman"/>
        <w:b/>
        <w:bCs/>
        <w:color w:val="181717"/>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D5B" w:rsidRDefault="00D42D5B" w:rsidP="00450580">
      <w:pPr>
        <w:spacing w:after="0" w:line="240" w:lineRule="auto"/>
      </w:pPr>
      <w:r>
        <w:separator/>
      </w:r>
    </w:p>
  </w:footnote>
  <w:footnote w:type="continuationSeparator" w:id="0">
    <w:p w:rsidR="00D42D5B" w:rsidRDefault="00D42D5B" w:rsidP="00450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79" w:rsidRDefault="00406979" w:rsidP="009A4896">
    <w:pPr>
      <w:pBdr>
        <w:bottom w:val="single" w:sz="4" w:space="0" w:color="auto"/>
      </w:pBdr>
      <w:tabs>
        <w:tab w:val="center" w:pos="4153"/>
        <w:tab w:val="right" w:pos="8306"/>
      </w:tabs>
      <w:autoSpaceDE w:val="0"/>
      <w:autoSpaceDN w:val="0"/>
      <w:adjustRightInd w:val="0"/>
      <w:spacing w:after="0" w:line="240" w:lineRule="auto"/>
      <w:ind w:left="10" w:right="-15" w:hanging="10"/>
      <w:contextualSpacing/>
      <w:jc w:val="center"/>
      <w:rPr>
        <w:rFonts w:ascii="Times New Roman" w:eastAsia="Times New Roman" w:hAnsi="Times New Roman" w:cs="Times New Roman"/>
        <w:b/>
        <w:bCs/>
        <w:color w:val="181717"/>
        <w:sz w:val="20"/>
        <w:szCs w:val="20"/>
        <w:lang w:bidi="ar-EG"/>
      </w:rPr>
    </w:pPr>
    <w:proofErr w:type="spellStart"/>
    <w:r>
      <w:rPr>
        <w:rFonts w:ascii="Times New Roman" w:eastAsia="Times New Roman" w:hAnsi="Times New Roman" w:cs="Times New Roman"/>
        <w:b/>
        <w:bCs/>
        <w:color w:val="181717"/>
        <w:sz w:val="20"/>
        <w:szCs w:val="20"/>
        <w:lang w:bidi="ar-EG"/>
      </w:rPr>
      <w:t>Benha</w:t>
    </w:r>
    <w:proofErr w:type="spellEnd"/>
    <w:r>
      <w:rPr>
        <w:rFonts w:ascii="Times New Roman" w:eastAsia="Times New Roman" w:hAnsi="Times New Roman" w:cs="Times New Roman"/>
        <w:b/>
        <w:bCs/>
        <w:color w:val="181717"/>
        <w:sz w:val="20"/>
        <w:szCs w:val="20"/>
        <w:lang w:bidi="ar-EG"/>
      </w:rPr>
      <w:t xml:space="preserve"> Journal of Applied Sciences (BJAS)                                               print : ISSN 2356–9751</w:t>
    </w:r>
  </w:p>
  <w:p w:rsidR="00406979" w:rsidRDefault="00406979" w:rsidP="009A4896">
    <w:pPr>
      <w:pBdr>
        <w:bottom w:val="single" w:sz="4" w:space="0" w:color="auto"/>
      </w:pBdr>
      <w:tabs>
        <w:tab w:val="center" w:pos="4153"/>
        <w:tab w:val="right" w:pos="8306"/>
      </w:tabs>
      <w:autoSpaceDE w:val="0"/>
      <w:autoSpaceDN w:val="0"/>
      <w:adjustRightInd w:val="0"/>
      <w:spacing w:after="0" w:line="240" w:lineRule="auto"/>
      <w:ind w:left="10" w:right="-15" w:hanging="10"/>
      <w:contextualSpacing/>
      <w:jc w:val="center"/>
      <w:rPr>
        <w:rFonts w:ascii="Times New Roman" w:eastAsia="Times New Roman" w:hAnsi="Times New Roman" w:cs="Times New Roman"/>
        <w:b/>
        <w:bCs/>
        <w:color w:val="181717"/>
        <w:sz w:val="20"/>
        <w:szCs w:val="20"/>
        <w:lang w:bidi="ar-EG"/>
      </w:rPr>
    </w:pPr>
    <w:r>
      <w:rPr>
        <w:rFonts w:ascii="Times New Roman" w:eastAsia="Times New Roman" w:hAnsi="Times New Roman" w:cs="Times New Roman"/>
        <w:b/>
        <w:bCs/>
        <w:color w:val="181717"/>
        <w:sz w:val="20"/>
        <w:szCs w:val="20"/>
        <w:lang w:bidi="ar-EG"/>
      </w:rPr>
      <w:t>Vol.(  ) Issue( ) Oct.(2022), 1-5                                                                   online : ISSN 2356–976x</w:t>
    </w:r>
  </w:p>
  <w:p w:rsidR="00406979" w:rsidRPr="009A4896" w:rsidRDefault="00406979" w:rsidP="009A4896">
    <w:pPr>
      <w:pBdr>
        <w:bottom w:val="single" w:sz="4" w:space="0" w:color="auto"/>
      </w:pBdr>
      <w:tabs>
        <w:tab w:val="left" w:pos="3047"/>
        <w:tab w:val="center" w:pos="4145"/>
        <w:tab w:val="right" w:pos="8306"/>
      </w:tabs>
      <w:autoSpaceDE w:val="0"/>
      <w:autoSpaceDN w:val="0"/>
      <w:adjustRightInd w:val="0"/>
      <w:spacing w:after="0" w:line="240" w:lineRule="auto"/>
      <w:ind w:left="10" w:right="-15" w:hanging="10"/>
      <w:contextualSpacing/>
      <w:jc w:val="both"/>
      <w:rPr>
        <w:rFonts w:ascii="Times New Roman" w:eastAsia="Times New Roman" w:hAnsi="Times New Roman" w:cs="Times New Roman"/>
        <w:b/>
        <w:bCs/>
        <w:color w:val="181717"/>
        <w:sz w:val="20"/>
        <w:szCs w:val="20"/>
        <w:lang w:bidi="ar-EG"/>
      </w:rPr>
    </w:pPr>
    <w:r>
      <w:rPr>
        <w:rFonts w:ascii="Times New Roman" w:eastAsia="Times New Roman" w:hAnsi="Times New Roman" w:cs="Times New Roman"/>
        <w:b/>
        <w:bCs/>
        <w:color w:val="181717"/>
        <w:sz w:val="20"/>
        <w:szCs w:val="20"/>
        <w:lang w:bidi="ar-EG"/>
      </w:rPr>
      <w:tab/>
    </w:r>
    <w:r>
      <w:rPr>
        <w:rFonts w:ascii="Times New Roman" w:eastAsia="Times New Roman" w:hAnsi="Times New Roman" w:cs="Times New Roman"/>
        <w:b/>
        <w:bCs/>
        <w:color w:val="181717"/>
        <w:sz w:val="20"/>
        <w:szCs w:val="20"/>
        <w:lang w:bidi="ar-EG"/>
      </w:rPr>
      <w:tab/>
      <w:t>http:// bjas.bu.edu.eg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FB96"/>
      </v:shape>
    </w:pict>
  </w:numPicBullet>
  <w:abstractNum w:abstractNumId="0">
    <w:nsid w:val="FFFFFF89"/>
    <w:multiLevelType w:val="singleLevel"/>
    <w:tmpl w:val="A1B2C184"/>
    <w:lvl w:ilvl="0">
      <w:start w:val="1"/>
      <w:numFmt w:val="bullet"/>
      <w:pStyle w:val="a"/>
      <w:lvlText w:val=""/>
      <w:lvlJc w:val="left"/>
      <w:pPr>
        <w:tabs>
          <w:tab w:val="num" w:pos="360"/>
        </w:tabs>
        <w:ind w:left="360" w:hanging="360"/>
      </w:pPr>
      <w:rPr>
        <w:rFonts w:ascii="Symbol" w:hAnsi="Symbol" w:hint="default"/>
      </w:rPr>
    </w:lvl>
  </w:abstractNum>
  <w:abstractNum w:abstractNumId="1">
    <w:nsid w:val="00000027"/>
    <w:multiLevelType w:val="hybridMultilevel"/>
    <w:tmpl w:val="FB72F3AC"/>
    <w:lvl w:ilvl="0" w:tplc="0409000D">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57217F5"/>
    <w:multiLevelType w:val="hybridMultilevel"/>
    <w:tmpl w:val="8F64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96F6E"/>
    <w:multiLevelType w:val="hybridMultilevel"/>
    <w:tmpl w:val="53E6EE80"/>
    <w:lvl w:ilvl="0" w:tplc="0409000B">
      <w:start w:val="1"/>
      <w:numFmt w:val="bullet"/>
      <w:lvlText w:val=""/>
      <w:lvlJc w:val="left"/>
      <w:pPr>
        <w:tabs>
          <w:tab w:val="left" w:pos="786"/>
        </w:tabs>
        <w:ind w:left="786" w:hanging="360"/>
      </w:pPr>
      <w:rPr>
        <w:rFonts w:ascii="Wingdings" w:hAnsi="Wingdings" w:hint="default"/>
        <w:b/>
        <w:bCs/>
        <w:color w:val="auto"/>
        <w:sz w:val="22"/>
        <w:szCs w:val="22"/>
      </w:rPr>
    </w:lvl>
    <w:lvl w:ilvl="1" w:tplc="04090003">
      <w:start w:val="1"/>
      <w:numFmt w:val="bullet"/>
      <w:lvlText w:val="o"/>
      <w:lvlJc w:val="left"/>
      <w:pPr>
        <w:tabs>
          <w:tab w:val="left" w:pos="2160"/>
        </w:tabs>
        <w:ind w:left="2160" w:hanging="360"/>
      </w:pPr>
      <w:rPr>
        <w:rFonts w:ascii="Courier New" w:hAnsi="Courier New" w:cs="Courier New" w:hint="default"/>
      </w:rPr>
    </w:lvl>
    <w:lvl w:ilvl="2" w:tplc="04090005">
      <w:start w:val="1"/>
      <w:numFmt w:val="bullet"/>
      <w:lvlText w:val=""/>
      <w:lvlJc w:val="left"/>
      <w:pPr>
        <w:tabs>
          <w:tab w:val="left" w:pos="2880"/>
        </w:tabs>
        <w:ind w:left="2880" w:hanging="360"/>
      </w:pPr>
      <w:rPr>
        <w:rFonts w:ascii="Wingdings" w:hAnsi="Wingdings" w:hint="default"/>
      </w:rPr>
    </w:lvl>
    <w:lvl w:ilvl="3" w:tplc="04090001">
      <w:start w:val="1"/>
      <w:numFmt w:val="bullet"/>
      <w:lvlText w:val=""/>
      <w:lvlJc w:val="left"/>
      <w:pPr>
        <w:tabs>
          <w:tab w:val="left" w:pos="3600"/>
        </w:tabs>
        <w:ind w:left="3600" w:hanging="360"/>
      </w:pPr>
      <w:rPr>
        <w:rFonts w:ascii="Symbol" w:hAnsi="Symbol" w:hint="default"/>
      </w:rPr>
    </w:lvl>
    <w:lvl w:ilvl="4" w:tplc="04090003">
      <w:start w:val="1"/>
      <w:numFmt w:val="bullet"/>
      <w:lvlText w:val="o"/>
      <w:lvlJc w:val="left"/>
      <w:pPr>
        <w:tabs>
          <w:tab w:val="left" w:pos="4320"/>
        </w:tabs>
        <w:ind w:left="4320" w:hanging="360"/>
      </w:pPr>
      <w:rPr>
        <w:rFonts w:ascii="Courier New" w:hAnsi="Courier New" w:cs="Courier New" w:hint="default"/>
      </w:rPr>
    </w:lvl>
    <w:lvl w:ilvl="5" w:tplc="04090005">
      <w:start w:val="1"/>
      <w:numFmt w:val="bullet"/>
      <w:lvlText w:val=""/>
      <w:lvlJc w:val="left"/>
      <w:pPr>
        <w:tabs>
          <w:tab w:val="left" w:pos="5040"/>
        </w:tabs>
        <w:ind w:left="5040" w:hanging="360"/>
      </w:pPr>
      <w:rPr>
        <w:rFonts w:ascii="Wingdings" w:hAnsi="Wingdings" w:hint="default"/>
      </w:rPr>
    </w:lvl>
    <w:lvl w:ilvl="6" w:tplc="04090001">
      <w:start w:val="1"/>
      <w:numFmt w:val="bullet"/>
      <w:lvlText w:val=""/>
      <w:lvlJc w:val="left"/>
      <w:pPr>
        <w:tabs>
          <w:tab w:val="left" w:pos="5760"/>
        </w:tabs>
        <w:ind w:left="5760" w:hanging="360"/>
      </w:pPr>
      <w:rPr>
        <w:rFonts w:ascii="Symbol" w:hAnsi="Symbol" w:hint="default"/>
      </w:rPr>
    </w:lvl>
    <w:lvl w:ilvl="7" w:tplc="04090003">
      <w:start w:val="1"/>
      <w:numFmt w:val="bullet"/>
      <w:lvlText w:val="o"/>
      <w:lvlJc w:val="left"/>
      <w:pPr>
        <w:tabs>
          <w:tab w:val="left" w:pos="6480"/>
        </w:tabs>
        <w:ind w:left="6480" w:hanging="360"/>
      </w:pPr>
      <w:rPr>
        <w:rFonts w:ascii="Courier New" w:hAnsi="Courier New" w:cs="Courier New" w:hint="default"/>
      </w:rPr>
    </w:lvl>
    <w:lvl w:ilvl="8" w:tplc="04090005">
      <w:start w:val="1"/>
      <w:numFmt w:val="bullet"/>
      <w:lvlText w:val=""/>
      <w:lvlJc w:val="left"/>
      <w:pPr>
        <w:tabs>
          <w:tab w:val="left" w:pos="7200"/>
        </w:tabs>
        <w:ind w:left="7200" w:hanging="360"/>
      </w:pPr>
      <w:rPr>
        <w:rFonts w:ascii="Wingdings" w:hAnsi="Wingdings" w:hint="default"/>
      </w:rPr>
    </w:lvl>
  </w:abstractNum>
  <w:abstractNum w:abstractNumId="4">
    <w:nsid w:val="08746DCD"/>
    <w:multiLevelType w:val="hybridMultilevel"/>
    <w:tmpl w:val="29B2FD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D8F4703"/>
    <w:multiLevelType w:val="hybridMultilevel"/>
    <w:tmpl w:val="2862C4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AB5441"/>
    <w:multiLevelType w:val="hybridMultilevel"/>
    <w:tmpl w:val="09EAC44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82A26F5"/>
    <w:multiLevelType w:val="hybridMultilevel"/>
    <w:tmpl w:val="79B204F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A735F63"/>
    <w:multiLevelType w:val="multilevel"/>
    <w:tmpl w:val="6AD25B84"/>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B0A12BE"/>
    <w:multiLevelType w:val="hybridMultilevel"/>
    <w:tmpl w:val="67E64D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1C0189"/>
    <w:multiLevelType w:val="hybridMultilevel"/>
    <w:tmpl w:val="3D0678F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30BA1607"/>
    <w:multiLevelType w:val="hybridMultilevel"/>
    <w:tmpl w:val="5AEA3C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65963"/>
    <w:multiLevelType w:val="hybridMultilevel"/>
    <w:tmpl w:val="D5EAF9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96CF9"/>
    <w:multiLevelType w:val="hybridMultilevel"/>
    <w:tmpl w:val="AABEB7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102804"/>
    <w:multiLevelType w:val="hybridMultilevel"/>
    <w:tmpl w:val="D890A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3D36D33"/>
    <w:multiLevelType w:val="hybridMultilevel"/>
    <w:tmpl w:val="10EA1E5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6C47379B"/>
    <w:multiLevelType w:val="hybridMultilevel"/>
    <w:tmpl w:val="0FF6AA3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703620F3"/>
    <w:multiLevelType w:val="hybridMultilevel"/>
    <w:tmpl w:val="83C82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447945"/>
    <w:multiLevelType w:val="hybridMultilevel"/>
    <w:tmpl w:val="57388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A55125"/>
    <w:multiLevelType w:val="hybridMultilevel"/>
    <w:tmpl w:val="93F0C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1D5727"/>
    <w:multiLevelType w:val="hybridMultilevel"/>
    <w:tmpl w:val="513E10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3"/>
  </w:num>
  <w:num w:numId="6">
    <w:abstractNumId w:val="1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1"/>
  </w:num>
  <w:num w:numId="11">
    <w:abstractNumId w:val="5"/>
  </w:num>
  <w:num w:numId="12">
    <w:abstractNumId w:val="6"/>
  </w:num>
  <w:num w:numId="13">
    <w:abstractNumId w:val="19"/>
  </w:num>
  <w:num w:numId="14">
    <w:abstractNumId w:val="14"/>
  </w:num>
  <w:num w:numId="15">
    <w:abstractNumId w:val="4"/>
  </w:num>
  <w:num w:numId="16">
    <w:abstractNumId w:val="17"/>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
  </w:num>
  <w:num w:numId="20">
    <w:abstractNumId w:val="7"/>
  </w:num>
  <w:num w:numId="21">
    <w:abstractNumId w:val="10"/>
  </w:num>
  <w:num w:numId="22">
    <w:abstractNumId w:val="13"/>
  </w:num>
  <w:num w:numId="23">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54D4"/>
    <w:rsid w:val="00001F04"/>
    <w:rsid w:val="00005800"/>
    <w:rsid w:val="000115A1"/>
    <w:rsid w:val="00011609"/>
    <w:rsid w:val="00015F9B"/>
    <w:rsid w:val="0002214D"/>
    <w:rsid w:val="00022F18"/>
    <w:rsid w:val="0002534E"/>
    <w:rsid w:val="00025729"/>
    <w:rsid w:val="00025DC8"/>
    <w:rsid w:val="000311A9"/>
    <w:rsid w:val="00035600"/>
    <w:rsid w:val="000358CE"/>
    <w:rsid w:val="000359BC"/>
    <w:rsid w:val="0004123A"/>
    <w:rsid w:val="00044DEA"/>
    <w:rsid w:val="000465BA"/>
    <w:rsid w:val="00056440"/>
    <w:rsid w:val="00057104"/>
    <w:rsid w:val="0005796C"/>
    <w:rsid w:val="000672DA"/>
    <w:rsid w:val="00075B11"/>
    <w:rsid w:val="00081C67"/>
    <w:rsid w:val="00082282"/>
    <w:rsid w:val="00082F72"/>
    <w:rsid w:val="00083369"/>
    <w:rsid w:val="00083E61"/>
    <w:rsid w:val="0008776D"/>
    <w:rsid w:val="00090F9C"/>
    <w:rsid w:val="000934D3"/>
    <w:rsid w:val="00095387"/>
    <w:rsid w:val="00095D79"/>
    <w:rsid w:val="000A04B1"/>
    <w:rsid w:val="000A077E"/>
    <w:rsid w:val="000A1BE6"/>
    <w:rsid w:val="000A3D78"/>
    <w:rsid w:val="000A4F1B"/>
    <w:rsid w:val="000B0644"/>
    <w:rsid w:val="000B3F3F"/>
    <w:rsid w:val="000B439A"/>
    <w:rsid w:val="000C2D16"/>
    <w:rsid w:val="000C3D0B"/>
    <w:rsid w:val="000C44F0"/>
    <w:rsid w:val="000C5E37"/>
    <w:rsid w:val="000C760B"/>
    <w:rsid w:val="000D11E3"/>
    <w:rsid w:val="000D5411"/>
    <w:rsid w:val="000D76FF"/>
    <w:rsid w:val="000E3032"/>
    <w:rsid w:val="000E3779"/>
    <w:rsid w:val="000E44E1"/>
    <w:rsid w:val="000E525B"/>
    <w:rsid w:val="000F34FC"/>
    <w:rsid w:val="000F3AFE"/>
    <w:rsid w:val="00102936"/>
    <w:rsid w:val="001050B7"/>
    <w:rsid w:val="00107127"/>
    <w:rsid w:val="00110400"/>
    <w:rsid w:val="001116FA"/>
    <w:rsid w:val="00111E00"/>
    <w:rsid w:val="00112206"/>
    <w:rsid w:val="00112FE9"/>
    <w:rsid w:val="00113FC4"/>
    <w:rsid w:val="001147DC"/>
    <w:rsid w:val="00114F0E"/>
    <w:rsid w:val="001257A4"/>
    <w:rsid w:val="00127CEB"/>
    <w:rsid w:val="00127D15"/>
    <w:rsid w:val="0013060A"/>
    <w:rsid w:val="00132D91"/>
    <w:rsid w:val="00134330"/>
    <w:rsid w:val="00141F2B"/>
    <w:rsid w:val="00143FA5"/>
    <w:rsid w:val="001469DD"/>
    <w:rsid w:val="00150CC3"/>
    <w:rsid w:val="001537EB"/>
    <w:rsid w:val="001544C4"/>
    <w:rsid w:val="0015457E"/>
    <w:rsid w:val="00155712"/>
    <w:rsid w:val="001567E4"/>
    <w:rsid w:val="00157E8E"/>
    <w:rsid w:val="001637F3"/>
    <w:rsid w:val="00163E72"/>
    <w:rsid w:val="0016584F"/>
    <w:rsid w:val="00166015"/>
    <w:rsid w:val="001718A0"/>
    <w:rsid w:val="00172254"/>
    <w:rsid w:val="00173BF8"/>
    <w:rsid w:val="00174ECA"/>
    <w:rsid w:val="001833D7"/>
    <w:rsid w:val="00184DF1"/>
    <w:rsid w:val="00193B87"/>
    <w:rsid w:val="00196CBA"/>
    <w:rsid w:val="001A1B71"/>
    <w:rsid w:val="001A4019"/>
    <w:rsid w:val="001A5249"/>
    <w:rsid w:val="001A66A5"/>
    <w:rsid w:val="001A66E9"/>
    <w:rsid w:val="001A7361"/>
    <w:rsid w:val="001B06BC"/>
    <w:rsid w:val="001B0ED2"/>
    <w:rsid w:val="001B3007"/>
    <w:rsid w:val="001B4037"/>
    <w:rsid w:val="001B5CEE"/>
    <w:rsid w:val="001C6D62"/>
    <w:rsid w:val="001C7E09"/>
    <w:rsid w:val="001D092A"/>
    <w:rsid w:val="001D0EC9"/>
    <w:rsid w:val="001D0F46"/>
    <w:rsid w:val="001D21FF"/>
    <w:rsid w:val="001D269B"/>
    <w:rsid w:val="001D3BC8"/>
    <w:rsid w:val="001E2586"/>
    <w:rsid w:val="001E4058"/>
    <w:rsid w:val="001E6C71"/>
    <w:rsid w:val="001F1C53"/>
    <w:rsid w:val="001F28BD"/>
    <w:rsid w:val="001F7AFC"/>
    <w:rsid w:val="001F7F79"/>
    <w:rsid w:val="001F7F93"/>
    <w:rsid w:val="00206193"/>
    <w:rsid w:val="00210D42"/>
    <w:rsid w:val="00210D4E"/>
    <w:rsid w:val="00211DFC"/>
    <w:rsid w:val="002136C6"/>
    <w:rsid w:val="00213D50"/>
    <w:rsid w:val="00215664"/>
    <w:rsid w:val="002161C7"/>
    <w:rsid w:val="002178F6"/>
    <w:rsid w:val="002201C2"/>
    <w:rsid w:val="00223467"/>
    <w:rsid w:val="00223C5F"/>
    <w:rsid w:val="002251B2"/>
    <w:rsid w:val="00233A57"/>
    <w:rsid w:val="0023552B"/>
    <w:rsid w:val="00235AE3"/>
    <w:rsid w:val="002361BC"/>
    <w:rsid w:val="00237322"/>
    <w:rsid w:val="002427C8"/>
    <w:rsid w:val="00244445"/>
    <w:rsid w:val="002458C4"/>
    <w:rsid w:val="00252A03"/>
    <w:rsid w:val="00254E40"/>
    <w:rsid w:val="002554C1"/>
    <w:rsid w:val="00255CEC"/>
    <w:rsid w:val="00257B9C"/>
    <w:rsid w:val="002616E0"/>
    <w:rsid w:val="0026325E"/>
    <w:rsid w:val="002720DC"/>
    <w:rsid w:val="00272480"/>
    <w:rsid w:val="002751D1"/>
    <w:rsid w:val="00276D61"/>
    <w:rsid w:val="0028666F"/>
    <w:rsid w:val="002870BF"/>
    <w:rsid w:val="00291F91"/>
    <w:rsid w:val="0029363F"/>
    <w:rsid w:val="0029542F"/>
    <w:rsid w:val="0029765B"/>
    <w:rsid w:val="00297CF2"/>
    <w:rsid w:val="002A1905"/>
    <w:rsid w:val="002A494A"/>
    <w:rsid w:val="002B029E"/>
    <w:rsid w:val="002B1FDA"/>
    <w:rsid w:val="002B5FFE"/>
    <w:rsid w:val="002B668F"/>
    <w:rsid w:val="002C3C72"/>
    <w:rsid w:val="002C692A"/>
    <w:rsid w:val="002C6FA2"/>
    <w:rsid w:val="002D0F05"/>
    <w:rsid w:val="002D1FF4"/>
    <w:rsid w:val="002D3318"/>
    <w:rsid w:val="002D423F"/>
    <w:rsid w:val="002D6C8B"/>
    <w:rsid w:val="002E1E78"/>
    <w:rsid w:val="002E5857"/>
    <w:rsid w:val="002E5B3A"/>
    <w:rsid w:val="002E63A8"/>
    <w:rsid w:val="002E70C8"/>
    <w:rsid w:val="002F0295"/>
    <w:rsid w:val="002F38C9"/>
    <w:rsid w:val="002F4668"/>
    <w:rsid w:val="00302261"/>
    <w:rsid w:val="00304708"/>
    <w:rsid w:val="00304DAA"/>
    <w:rsid w:val="003050F3"/>
    <w:rsid w:val="003109A5"/>
    <w:rsid w:val="003117C8"/>
    <w:rsid w:val="00313C80"/>
    <w:rsid w:val="00313D20"/>
    <w:rsid w:val="00314F6D"/>
    <w:rsid w:val="00317B74"/>
    <w:rsid w:val="00317E38"/>
    <w:rsid w:val="00322931"/>
    <w:rsid w:val="003247D7"/>
    <w:rsid w:val="0032568E"/>
    <w:rsid w:val="003258A2"/>
    <w:rsid w:val="00325CE5"/>
    <w:rsid w:val="003273E6"/>
    <w:rsid w:val="003278F2"/>
    <w:rsid w:val="00331D13"/>
    <w:rsid w:val="00332040"/>
    <w:rsid w:val="00332F81"/>
    <w:rsid w:val="003379F1"/>
    <w:rsid w:val="00337C8B"/>
    <w:rsid w:val="00341A7E"/>
    <w:rsid w:val="00342E50"/>
    <w:rsid w:val="00344201"/>
    <w:rsid w:val="003457CB"/>
    <w:rsid w:val="00346D7A"/>
    <w:rsid w:val="00346E39"/>
    <w:rsid w:val="00352EF8"/>
    <w:rsid w:val="00353766"/>
    <w:rsid w:val="00355EBB"/>
    <w:rsid w:val="00362649"/>
    <w:rsid w:val="00364FE3"/>
    <w:rsid w:val="00365042"/>
    <w:rsid w:val="00367213"/>
    <w:rsid w:val="003704FF"/>
    <w:rsid w:val="00370DF6"/>
    <w:rsid w:val="00371323"/>
    <w:rsid w:val="003713C8"/>
    <w:rsid w:val="0037423C"/>
    <w:rsid w:val="003757A3"/>
    <w:rsid w:val="00381463"/>
    <w:rsid w:val="003825A3"/>
    <w:rsid w:val="00386348"/>
    <w:rsid w:val="00386B9C"/>
    <w:rsid w:val="003871D5"/>
    <w:rsid w:val="0039655B"/>
    <w:rsid w:val="003A0E4D"/>
    <w:rsid w:val="003A3123"/>
    <w:rsid w:val="003A74B4"/>
    <w:rsid w:val="003B197E"/>
    <w:rsid w:val="003B5741"/>
    <w:rsid w:val="003B6FCB"/>
    <w:rsid w:val="003C197E"/>
    <w:rsid w:val="003C1CBC"/>
    <w:rsid w:val="003C2602"/>
    <w:rsid w:val="003C6CF4"/>
    <w:rsid w:val="003C7F96"/>
    <w:rsid w:val="003D02C7"/>
    <w:rsid w:val="003D43CD"/>
    <w:rsid w:val="003D4C2A"/>
    <w:rsid w:val="003D555E"/>
    <w:rsid w:val="003D67A1"/>
    <w:rsid w:val="003D68BF"/>
    <w:rsid w:val="003E6A5E"/>
    <w:rsid w:val="003F4339"/>
    <w:rsid w:val="00403E96"/>
    <w:rsid w:val="004042CB"/>
    <w:rsid w:val="004045B3"/>
    <w:rsid w:val="00406979"/>
    <w:rsid w:val="00407776"/>
    <w:rsid w:val="004126F3"/>
    <w:rsid w:val="004157D9"/>
    <w:rsid w:val="00417E35"/>
    <w:rsid w:val="004202EB"/>
    <w:rsid w:val="00420BBB"/>
    <w:rsid w:val="00420CD4"/>
    <w:rsid w:val="00420F43"/>
    <w:rsid w:val="00425154"/>
    <w:rsid w:val="00427DBB"/>
    <w:rsid w:val="00430BE7"/>
    <w:rsid w:val="004310B3"/>
    <w:rsid w:val="004328F6"/>
    <w:rsid w:val="004336BF"/>
    <w:rsid w:val="00435C69"/>
    <w:rsid w:val="00437C6A"/>
    <w:rsid w:val="00437FA4"/>
    <w:rsid w:val="004402B0"/>
    <w:rsid w:val="0044082B"/>
    <w:rsid w:val="00442862"/>
    <w:rsid w:val="00450580"/>
    <w:rsid w:val="004505F1"/>
    <w:rsid w:val="004568B7"/>
    <w:rsid w:val="004609B8"/>
    <w:rsid w:val="004628D0"/>
    <w:rsid w:val="00473E59"/>
    <w:rsid w:val="00475734"/>
    <w:rsid w:val="00476D82"/>
    <w:rsid w:val="00480B1A"/>
    <w:rsid w:val="00482D7D"/>
    <w:rsid w:val="00482E8E"/>
    <w:rsid w:val="00483D4C"/>
    <w:rsid w:val="00485301"/>
    <w:rsid w:val="00485A72"/>
    <w:rsid w:val="00486A43"/>
    <w:rsid w:val="00487425"/>
    <w:rsid w:val="00493D02"/>
    <w:rsid w:val="00497506"/>
    <w:rsid w:val="004A1D2B"/>
    <w:rsid w:val="004A2787"/>
    <w:rsid w:val="004A4FFC"/>
    <w:rsid w:val="004B0E9C"/>
    <w:rsid w:val="004B1734"/>
    <w:rsid w:val="004B1E1E"/>
    <w:rsid w:val="004B2628"/>
    <w:rsid w:val="004B6FBD"/>
    <w:rsid w:val="004B7162"/>
    <w:rsid w:val="004B7348"/>
    <w:rsid w:val="004C28A5"/>
    <w:rsid w:val="004D2069"/>
    <w:rsid w:val="004D2290"/>
    <w:rsid w:val="004D3AD2"/>
    <w:rsid w:val="004D4A22"/>
    <w:rsid w:val="004E0009"/>
    <w:rsid w:val="004E1427"/>
    <w:rsid w:val="004E1C52"/>
    <w:rsid w:val="004E1E90"/>
    <w:rsid w:val="004E5B29"/>
    <w:rsid w:val="004E65E0"/>
    <w:rsid w:val="004E78CD"/>
    <w:rsid w:val="004F0719"/>
    <w:rsid w:val="004F2085"/>
    <w:rsid w:val="004F405F"/>
    <w:rsid w:val="004F4104"/>
    <w:rsid w:val="004F45C9"/>
    <w:rsid w:val="0050323F"/>
    <w:rsid w:val="00503B69"/>
    <w:rsid w:val="00503DDA"/>
    <w:rsid w:val="00503FA9"/>
    <w:rsid w:val="00505CD5"/>
    <w:rsid w:val="00506B2E"/>
    <w:rsid w:val="00514F65"/>
    <w:rsid w:val="0052006C"/>
    <w:rsid w:val="00523E20"/>
    <w:rsid w:val="005253B0"/>
    <w:rsid w:val="005254AB"/>
    <w:rsid w:val="00527AE7"/>
    <w:rsid w:val="005333FC"/>
    <w:rsid w:val="00533991"/>
    <w:rsid w:val="005363D7"/>
    <w:rsid w:val="005400CB"/>
    <w:rsid w:val="005416FB"/>
    <w:rsid w:val="005435C5"/>
    <w:rsid w:val="0054640A"/>
    <w:rsid w:val="00553DFA"/>
    <w:rsid w:val="00554514"/>
    <w:rsid w:val="00557336"/>
    <w:rsid w:val="005601DF"/>
    <w:rsid w:val="00560A70"/>
    <w:rsid w:val="005620D9"/>
    <w:rsid w:val="00563F9F"/>
    <w:rsid w:val="00565BE5"/>
    <w:rsid w:val="00566E7C"/>
    <w:rsid w:val="00576132"/>
    <w:rsid w:val="00584DB5"/>
    <w:rsid w:val="00586A27"/>
    <w:rsid w:val="005965F4"/>
    <w:rsid w:val="00596CE9"/>
    <w:rsid w:val="005A120F"/>
    <w:rsid w:val="005A3900"/>
    <w:rsid w:val="005A3EC6"/>
    <w:rsid w:val="005B003D"/>
    <w:rsid w:val="005B06FE"/>
    <w:rsid w:val="005B0A7E"/>
    <w:rsid w:val="005B20CB"/>
    <w:rsid w:val="005B4E65"/>
    <w:rsid w:val="005B6C73"/>
    <w:rsid w:val="005C38C1"/>
    <w:rsid w:val="005C63B4"/>
    <w:rsid w:val="005C6C25"/>
    <w:rsid w:val="005C72C8"/>
    <w:rsid w:val="005D01C4"/>
    <w:rsid w:val="005D0C04"/>
    <w:rsid w:val="005D2575"/>
    <w:rsid w:val="005D3FD2"/>
    <w:rsid w:val="005D4D24"/>
    <w:rsid w:val="005D6FE8"/>
    <w:rsid w:val="005E3BAC"/>
    <w:rsid w:val="005E5035"/>
    <w:rsid w:val="005E6C8B"/>
    <w:rsid w:val="005F39AB"/>
    <w:rsid w:val="005F7136"/>
    <w:rsid w:val="005F784B"/>
    <w:rsid w:val="00603F2F"/>
    <w:rsid w:val="0060471C"/>
    <w:rsid w:val="006052AD"/>
    <w:rsid w:val="006053C8"/>
    <w:rsid w:val="00606F13"/>
    <w:rsid w:val="0060716D"/>
    <w:rsid w:val="00611B91"/>
    <w:rsid w:val="006147FC"/>
    <w:rsid w:val="00616CC9"/>
    <w:rsid w:val="006201FE"/>
    <w:rsid w:val="00620698"/>
    <w:rsid w:val="006209E3"/>
    <w:rsid w:val="00620F70"/>
    <w:rsid w:val="00622D26"/>
    <w:rsid w:val="0062312C"/>
    <w:rsid w:val="0062468A"/>
    <w:rsid w:val="006253CA"/>
    <w:rsid w:val="00626E0A"/>
    <w:rsid w:val="00627E90"/>
    <w:rsid w:val="00631D98"/>
    <w:rsid w:val="006327B9"/>
    <w:rsid w:val="00632A10"/>
    <w:rsid w:val="00636F45"/>
    <w:rsid w:val="00650953"/>
    <w:rsid w:val="006523A9"/>
    <w:rsid w:val="0065475F"/>
    <w:rsid w:val="006572C7"/>
    <w:rsid w:val="00661706"/>
    <w:rsid w:val="00661FF5"/>
    <w:rsid w:val="006624DE"/>
    <w:rsid w:val="00666CBF"/>
    <w:rsid w:val="006704BA"/>
    <w:rsid w:val="00673F2C"/>
    <w:rsid w:val="00674804"/>
    <w:rsid w:val="0067675D"/>
    <w:rsid w:val="00680F54"/>
    <w:rsid w:val="00682080"/>
    <w:rsid w:val="00685CB6"/>
    <w:rsid w:val="006904DC"/>
    <w:rsid w:val="00693051"/>
    <w:rsid w:val="006932A1"/>
    <w:rsid w:val="00694449"/>
    <w:rsid w:val="00694FC2"/>
    <w:rsid w:val="006A47E7"/>
    <w:rsid w:val="006A6236"/>
    <w:rsid w:val="006B572A"/>
    <w:rsid w:val="006B65DC"/>
    <w:rsid w:val="006B6771"/>
    <w:rsid w:val="006B694E"/>
    <w:rsid w:val="006C03C9"/>
    <w:rsid w:val="006C2C98"/>
    <w:rsid w:val="006C2F31"/>
    <w:rsid w:val="006C42B7"/>
    <w:rsid w:val="006C4837"/>
    <w:rsid w:val="006C5566"/>
    <w:rsid w:val="006C7884"/>
    <w:rsid w:val="006C7B9F"/>
    <w:rsid w:val="006D151B"/>
    <w:rsid w:val="006D2A4B"/>
    <w:rsid w:val="006D3193"/>
    <w:rsid w:val="006D3F6D"/>
    <w:rsid w:val="006D601D"/>
    <w:rsid w:val="006D6123"/>
    <w:rsid w:val="006D6135"/>
    <w:rsid w:val="006D6B7D"/>
    <w:rsid w:val="006E04FE"/>
    <w:rsid w:val="006E06C8"/>
    <w:rsid w:val="006E0E00"/>
    <w:rsid w:val="006E6CB1"/>
    <w:rsid w:val="006F1EA0"/>
    <w:rsid w:val="006F3754"/>
    <w:rsid w:val="006F4817"/>
    <w:rsid w:val="00701D10"/>
    <w:rsid w:val="00705110"/>
    <w:rsid w:val="007114E7"/>
    <w:rsid w:val="007117AB"/>
    <w:rsid w:val="0071276C"/>
    <w:rsid w:val="0071421A"/>
    <w:rsid w:val="00716F53"/>
    <w:rsid w:val="00717CA1"/>
    <w:rsid w:val="00723518"/>
    <w:rsid w:val="00723579"/>
    <w:rsid w:val="00725117"/>
    <w:rsid w:val="00726975"/>
    <w:rsid w:val="00726DC6"/>
    <w:rsid w:val="00727FEC"/>
    <w:rsid w:val="00737F29"/>
    <w:rsid w:val="00746B5E"/>
    <w:rsid w:val="00747193"/>
    <w:rsid w:val="00747ABB"/>
    <w:rsid w:val="007516C0"/>
    <w:rsid w:val="007519FA"/>
    <w:rsid w:val="00754D3B"/>
    <w:rsid w:val="00757657"/>
    <w:rsid w:val="00757BA0"/>
    <w:rsid w:val="007614FA"/>
    <w:rsid w:val="00764D62"/>
    <w:rsid w:val="007666A2"/>
    <w:rsid w:val="007668B2"/>
    <w:rsid w:val="00771D18"/>
    <w:rsid w:val="00772097"/>
    <w:rsid w:val="00781121"/>
    <w:rsid w:val="00783B1B"/>
    <w:rsid w:val="0079268E"/>
    <w:rsid w:val="007A0667"/>
    <w:rsid w:val="007A719C"/>
    <w:rsid w:val="007A7241"/>
    <w:rsid w:val="007B07B6"/>
    <w:rsid w:val="007B0C05"/>
    <w:rsid w:val="007B0D3C"/>
    <w:rsid w:val="007B3747"/>
    <w:rsid w:val="007B6683"/>
    <w:rsid w:val="007C33C2"/>
    <w:rsid w:val="007C6DEF"/>
    <w:rsid w:val="007D4458"/>
    <w:rsid w:val="007D7818"/>
    <w:rsid w:val="007D7DC6"/>
    <w:rsid w:val="007E0CD3"/>
    <w:rsid w:val="007E4092"/>
    <w:rsid w:val="007E6189"/>
    <w:rsid w:val="007E6DB7"/>
    <w:rsid w:val="007E78F1"/>
    <w:rsid w:val="007F0257"/>
    <w:rsid w:val="007F37B3"/>
    <w:rsid w:val="007F414D"/>
    <w:rsid w:val="00801B8F"/>
    <w:rsid w:val="00802159"/>
    <w:rsid w:val="00802871"/>
    <w:rsid w:val="00804658"/>
    <w:rsid w:val="00804ACB"/>
    <w:rsid w:val="008074F9"/>
    <w:rsid w:val="00812066"/>
    <w:rsid w:val="00813742"/>
    <w:rsid w:val="00813A0D"/>
    <w:rsid w:val="00813A29"/>
    <w:rsid w:val="0081564B"/>
    <w:rsid w:val="00817155"/>
    <w:rsid w:val="00817375"/>
    <w:rsid w:val="0082055A"/>
    <w:rsid w:val="00821324"/>
    <w:rsid w:val="0083249C"/>
    <w:rsid w:val="00833151"/>
    <w:rsid w:val="008370B6"/>
    <w:rsid w:val="00842167"/>
    <w:rsid w:val="00842FA7"/>
    <w:rsid w:val="00843861"/>
    <w:rsid w:val="00843D93"/>
    <w:rsid w:val="00843F5B"/>
    <w:rsid w:val="00846E4B"/>
    <w:rsid w:val="00851987"/>
    <w:rsid w:val="0085405B"/>
    <w:rsid w:val="00854622"/>
    <w:rsid w:val="00856D29"/>
    <w:rsid w:val="00857282"/>
    <w:rsid w:val="0086261E"/>
    <w:rsid w:val="00862FFB"/>
    <w:rsid w:val="00863BC2"/>
    <w:rsid w:val="00864476"/>
    <w:rsid w:val="00864FAF"/>
    <w:rsid w:val="008665CD"/>
    <w:rsid w:val="00867738"/>
    <w:rsid w:val="00870591"/>
    <w:rsid w:val="008730BC"/>
    <w:rsid w:val="00875440"/>
    <w:rsid w:val="008768A2"/>
    <w:rsid w:val="00883E7C"/>
    <w:rsid w:val="00885CF6"/>
    <w:rsid w:val="00885DE5"/>
    <w:rsid w:val="00894E97"/>
    <w:rsid w:val="00896B10"/>
    <w:rsid w:val="008A1460"/>
    <w:rsid w:val="008A16E0"/>
    <w:rsid w:val="008A1CD7"/>
    <w:rsid w:val="008A1F48"/>
    <w:rsid w:val="008A388D"/>
    <w:rsid w:val="008A3FA1"/>
    <w:rsid w:val="008A6381"/>
    <w:rsid w:val="008B26A6"/>
    <w:rsid w:val="008B3D00"/>
    <w:rsid w:val="008B3F37"/>
    <w:rsid w:val="008C3AEA"/>
    <w:rsid w:val="008C5AFB"/>
    <w:rsid w:val="008D079A"/>
    <w:rsid w:val="008D1603"/>
    <w:rsid w:val="008D478D"/>
    <w:rsid w:val="008E0323"/>
    <w:rsid w:val="008E2BB5"/>
    <w:rsid w:val="008E5253"/>
    <w:rsid w:val="008E5C65"/>
    <w:rsid w:val="008E5FA0"/>
    <w:rsid w:val="008E7CC4"/>
    <w:rsid w:val="008F16EF"/>
    <w:rsid w:val="008F1F39"/>
    <w:rsid w:val="008F301E"/>
    <w:rsid w:val="008F6469"/>
    <w:rsid w:val="008F7156"/>
    <w:rsid w:val="00900834"/>
    <w:rsid w:val="0090177E"/>
    <w:rsid w:val="009032A4"/>
    <w:rsid w:val="00904FCA"/>
    <w:rsid w:val="00907924"/>
    <w:rsid w:val="00911ABC"/>
    <w:rsid w:val="00916DCB"/>
    <w:rsid w:val="009230A2"/>
    <w:rsid w:val="0092707D"/>
    <w:rsid w:val="009345D4"/>
    <w:rsid w:val="009353FD"/>
    <w:rsid w:val="00936B65"/>
    <w:rsid w:val="0094126D"/>
    <w:rsid w:val="00943DD9"/>
    <w:rsid w:val="00946BFB"/>
    <w:rsid w:val="00952688"/>
    <w:rsid w:val="00954023"/>
    <w:rsid w:val="00955452"/>
    <w:rsid w:val="00960926"/>
    <w:rsid w:val="00962049"/>
    <w:rsid w:val="00962250"/>
    <w:rsid w:val="00970142"/>
    <w:rsid w:val="00970860"/>
    <w:rsid w:val="00970991"/>
    <w:rsid w:val="00972BC8"/>
    <w:rsid w:val="00972BDE"/>
    <w:rsid w:val="00974723"/>
    <w:rsid w:val="0097578C"/>
    <w:rsid w:val="00976321"/>
    <w:rsid w:val="00982303"/>
    <w:rsid w:val="009854D4"/>
    <w:rsid w:val="00993F35"/>
    <w:rsid w:val="0099546B"/>
    <w:rsid w:val="009A229C"/>
    <w:rsid w:val="009A4228"/>
    <w:rsid w:val="009A4896"/>
    <w:rsid w:val="009A4E41"/>
    <w:rsid w:val="009A5893"/>
    <w:rsid w:val="009B03DF"/>
    <w:rsid w:val="009B124C"/>
    <w:rsid w:val="009B1455"/>
    <w:rsid w:val="009B1C23"/>
    <w:rsid w:val="009B2C47"/>
    <w:rsid w:val="009B4075"/>
    <w:rsid w:val="009B6472"/>
    <w:rsid w:val="009B6C73"/>
    <w:rsid w:val="009C1370"/>
    <w:rsid w:val="009C3E66"/>
    <w:rsid w:val="009C63DC"/>
    <w:rsid w:val="009C7440"/>
    <w:rsid w:val="009C7A88"/>
    <w:rsid w:val="009D6365"/>
    <w:rsid w:val="009D705F"/>
    <w:rsid w:val="009E282D"/>
    <w:rsid w:val="009E30A3"/>
    <w:rsid w:val="009E6F6C"/>
    <w:rsid w:val="009F184A"/>
    <w:rsid w:val="009F3024"/>
    <w:rsid w:val="009F3072"/>
    <w:rsid w:val="009F7E70"/>
    <w:rsid w:val="00A00FA9"/>
    <w:rsid w:val="00A017C3"/>
    <w:rsid w:val="00A025E0"/>
    <w:rsid w:val="00A059FD"/>
    <w:rsid w:val="00A0753D"/>
    <w:rsid w:val="00A07A0F"/>
    <w:rsid w:val="00A10284"/>
    <w:rsid w:val="00A13166"/>
    <w:rsid w:val="00A13A46"/>
    <w:rsid w:val="00A13F15"/>
    <w:rsid w:val="00A15B9A"/>
    <w:rsid w:val="00A16378"/>
    <w:rsid w:val="00A163E6"/>
    <w:rsid w:val="00A208CB"/>
    <w:rsid w:val="00A25A6A"/>
    <w:rsid w:val="00A262AA"/>
    <w:rsid w:val="00A26741"/>
    <w:rsid w:val="00A277BD"/>
    <w:rsid w:val="00A32CA9"/>
    <w:rsid w:val="00A342CC"/>
    <w:rsid w:val="00A36216"/>
    <w:rsid w:val="00A40C66"/>
    <w:rsid w:val="00A41272"/>
    <w:rsid w:val="00A46E00"/>
    <w:rsid w:val="00A517F8"/>
    <w:rsid w:val="00A53842"/>
    <w:rsid w:val="00A53D69"/>
    <w:rsid w:val="00A546D0"/>
    <w:rsid w:val="00A56C29"/>
    <w:rsid w:val="00A62F77"/>
    <w:rsid w:val="00A6729E"/>
    <w:rsid w:val="00A70156"/>
    <w:rsid w:val="00A71067"/>
    <w:rsid w:val="00A710BA"/>
    <w:rsid w:val="00A71A88"/>
    <w:rsid w:val="00A72454"/>
    <w:rsid w:val="00A73D16"/>
    <w:rsid w:val="00A752E3"/>
    <w:rsid w:val="00A768DD"/>
    <w:rsid w:val="00A776EC"/>
    <w:rsid w:val="00A87BCD"/>
    <w:rsid w:val="00A87CBC"/>
    <w:rsid w:val="00AA0A22"/>
    <w:rsid w:val="00AA194C"/>
    <w:rsid w:val="00AA4455"/>
    <w:rsid w:val="00AB3FCB"/>
    <w:rsid w:val="00AB5B49"/>
    <w:rsid w:val="00AC555D"/>
    <w:rsid w:val="00AC58EE"/>
    <w:rsid w:val="00AC752C"/>
    <w:rsid w:val="00AC774F"/>
    <w:rsid w:val="00AD5621"/>
    <w:rsid w:val="00AD6D86"/>
    <w:rsid w:val="00AE32CF"/>
    <w:rsid w:val="00AE52D5"/>
    <w:rsid w:val="00AE765A"/>
    <w:rsid w:val="00AF31BF"/>
    <w:rsid w:val="00AF5432"/>
    <w:rsid w:val="00B021E0"/>
    <w:rsid w:val="00B02EC8"/>
    <w:rsid w:val="00B04C28"/>
    <w:rsid w:val="00B05979"/>
    <w:rsid w:val="00B06C54"/>
    <w:rsid w:val="00B131C6"/>
    <w:rsid w:val="00B22291"/>
    <w:rsid w:val="00B241C6"/>
    <w:rsid w:val="00B24F8E"/>
    <w:rsid w:val="00B251B1"/>
    <w:rsid w:val="00B25EF9"/>
    <w:rsid w:val="00B303D4"/>
    <w:rsid w:val="00B306CF"/>
    <w:rsid w:val="00B30D6B"/>
    <w:rsid w:val="00B312A0"/>
    <w:rsid w:val="00B31627"/>
    <w:rsid w:val="00B33D67"/>
    <w:rsid w:val="00B3527F"/>
    <w:rsid w:val="00B356F1"/>
    <w:rsid w:val="00B36417"/>
    <w:rsid w:val="00B368A6"/>
    <w:rsid w:val="00B411DA"/>
    <w:rsid w:val="00B43866"/>
    <w:rsid w:val="00B43DF7"/>
    <w:rsid w:val="00B459C5"/>
    <w:rsid w:val="00B53B65"/>
    <w:rsid w:val="00B56461"/>
    <w:rsid w:val="00B57BE0"/>
    <w:rsid w:val="00B609DF"/>
    <w:rsid w:val="00B63713"/>
    <w:rsid w:val="00B72847"/>
    <w:rsid w:val="00B76998"/>
    <w:rsid w:val="00B76E35"/>
    <w:rsid w:val="00B772B9"/>
    <w:rsid w:val="00B77E99"/>
    <w:rsid w:val="00B82370"/>
    <w:rsid w:val="00B84467"/>
    <w:rsid w:val="00B84C7A"/>
    <w:rsid w:val="00B9015E"/>
    <w:rsid w:val="00B91536"/>
    <w:rsid w:val="00B929CF"/>
    <w:rsid w:val="00B92EC8"/>
    <w:rsid w:val="00BA1A01"/>
    <w:rsid w:val="00BA1F27"/>
    <w:rsid w:val="00BA412C"/>
    <w:rsid w:val="00BA748C"/>
    <w:rsid w:val="00BA7F35"/>
    <w:rsid w:val="00BB0839"/>
    <w:rsid w:val="00BB181F"/>
    <w:rsid w:val="00BB6D8F"/>
    <w:rsid w:val="00BC1E23"/>
    <w:rsid w:val="00BC25BA"/>
    <w:rsid w:val="00BC4C69"/>
    <w:rsid w:val="00BC5583"/>
    <w:rsid w:val="00BD0D6B"/>
    <w:rsid w:val="00BD0DC2"/>
    <w:rsid w:val="00BD26EE"/>
    <w:rsid w:val="00BD2C6E"/>
    <w:rsid w:val="00BD51BB"/>
    <w:rsid w:val="00BE00C6"/>
    <w:rsid w:val="00BE00CC"/>
    <w:rsid w:val="00BE212D"/>
    <w:rsid w:val="00BE3A88"/>
    <w:rsid w:val="00BE5DB9"/>
    <w:rsid w:val="00BE66BA"/>
    <w:rsid w:val="00BF3989"/>
    <w:rsid w:val="00BF3CAA"/>
    <w:rsid w:val="00BF448C"/>
    <w:rsid w:val="00BF5FBE"/>
    <w:rsid w:val="00BF7194"/>
    <w:rsid w:val="00BF77E5"/>
    <w:rsid w:val="00BF7FE4"/>
    <w:rsid w:val="00C0091A"/>
    <w:rsid w:val="00C010C8"/>
    <w:rsid w:val="00C05ABA"/>
    <w:rsid w:val="00C05CE0"/>
    <w:rsid w:val="00C133EF"/>
    <w:rsid w:val="00C15C32"/>
    <w:rsid w:val="00C16AAA"/>
    <w:rsid w:val="00C17050"/>
    <w:rsid w:val="00C222FF"/>
    <w:rsid w:val="00C22E01"/>
    <w:rsid w:val="00C23F1C"/>
    <w:rsid w:val="00C2533C"/>
    <w:rsid w:val="00C3172C"/>
    <w:rsid w:val="00C35883"/>
    <w:rsid w:val="00C369ED"/>
    <w:rsid w:val="00C4179E"/>
    <w:rsid w:val="00C42646"/>
    <w:rsid w:val="00C44167"/>
    <w:rsid w:val="00C4674F"/>
    <w:rsid w:val="00C532F9"/>
    <w:rsid w:val="00C53921"/>
    <w:rsid w:val="00C57252"/>
    <w:rsid w:val="00C60A5A"/>
    <w:rsid w:val="00C63C50"/>
    <w:rsid w:val="00C63EC3"/>
    <w:rsid w:val="00C66ABE"/>
    <w:rsid w:val="00C70DAC"/>
    <w:rsid w:val="00C719A3"/>
    <w:rsid w:val="00C71A40"/>
    <w:rsid w:val="00C71FB6"/>
    <w:rsid w:val="00C72864"/>
    <w:rsid w:val="00C74998"/>
    <w:rsid w:val="00C809AA"/>
    <w:rsid w:val="00C81A0F"/>
    <w:rsid w:val="00C83F85"/>
    <w:rsid w:val="00C84427"/>
    <w:rsid w:val="00C876EB"/>
    <w:rsid w:val="00C907C7"/>
    <w:rsid w:val="00C9233B"/>
    <w:rsid w:val="00C931AB"/>
    <w:rsid w:val="00C93EF4"/>
    <w:rsid w:val="00C94594"/>
    <w:rsid w:val="00C94A08"/>
    <w:rsid w:val="00C97B85"/>
    <w:rsid w:val="00C97F41"/>
    <w:rsid w:val="00CA0CD1"/>
    <w:rsid w:val="00CA14CA"/>
    <w:rsid w:val="00CA6564"/>
    <w:rsid w:val="00CA6FC5"/>
    <w:rsid w:val="00CB0836"/>
    <w:rsid w:val="00CB3F8F"/>
    <w:rsid w:val="00CB5128"/>
    <w:rsid w:val="00CC13C1"/>
    <w:rsid w:val="00CC60CD"/>
    <w:rsid w:val="00CC70E6"/>
    <w:rsid w:val="00CC7B01"/>
    <w:rsid w:val="00CD0F2E"/>
    <w:rsid w:val="00CD32D7"/>
    <w:rsid w:val="00CD363C"/>
    <w:rsid w:val="00CD4573"/>
    <w:rsid w:val="00CE0604"/>
    <w:rsid w:val="00CE0F16"/>
    <w:rsid w:val="00CE1175"/>
    <w:rsid w:val="00CE62D5"/>
    <w:rsid w:val="00CE70CE"/>
    <w:rsid w:val="00CE76CC"/>
    <w:rsid w:val="00CF01D6"/>
    <w:rsid w:val="00CF10DD"/>
    <w:rsid w:val="00CF168A"/>
    <w:rsid w:val="00CF1743"/>
    <w:rsid w:val="00CF28AD"/>
    <w:rsid w:val="00CF4CAC"/>
    <w:rsid w:val="00D00F3B"/>
    <w:rsid w:val="00D00F67"/>
    <w:rsid w:val="00D010E1"/>
    <w:rsid w:val="00D01E5E"/>
    <w:rsid w:val="00D02970"/>
    <w:rsid w:val="00D03892"/>
    <w:rsid w:val="00D03C16"/>
    <w:rsid w:val="00D04400"/>
    <w:rsid w:val="00D0587C"/>
    <w:rsid w:val="00D10C36"/>
    <w:rsid w:val="00D122E4"/>
    <w:rsid w:val="00D16B92"/>
    <w:rsid w:val="00D170F5"/>
    <w:rsid w:val="00D179D0"/>
    <w:rsid w:val="00D20C76"/>
    <w:rsid w:val="00D240C1"/>
    <w:rsid w:val="00D2470C"/>
    <w:rsid w:val="00D24930"/>
    <w:rsid w:val="00D24B8C"/>
    <w:rsid w:val="00D258CE"/>
    <w:rsid w:val="00D30902"/>
    <w:rsid w:val="00D34101"/>
    <w:rsid w:val="00D3491A"/>
    <w:rsid w:val="00D4115C"/>
    <w:rsid w:val="00D42D5B"/>
    <w:rsid w:val="00D46BD4"/>
    <w:rsid w:val="00D471DE"/>
    <w:rsid w:val="00D53E44"/>
    <w:rsid w:val="00D62445"/>
    <w:rsid w:val="00D63C28"/>
    <w:rsid w:val="00D64B31"/>
    <w:rsid w:val="00D65FD7"/>
    <w:rsid w:val="00D73649"/>
    <w:rsid w:val="00D77732"/>
    <w:rsid w:val="00D81229"/>
    <w:rsid w:val="00D85783"/>
    <w:rsid w:val="00D87D3F"/>
    <w:rsid w:val="00D92CFF"/>
    <w:rsid w:val="00D950E5"/>
    <w:rsid w:val="00DA5C78"/>
    <w:rsid w:val="00DB063F"/>
    <w:rsid w:val="00DB2152"/>
    <w:rsid w:val="00DB2398"/>
    <w:rsid w:val="00DC1F4C"/>
    <w:rsid w:val="00DC350A"/>
    <w:rsid w:val="00DC38EC"/>
    <w:rsid w:val="00DD0FC2"/>
    <w:rsid w:val="00DD1C1D"/>
    <w:rsid w:val="00DD3AF4"/>
    <w:rsid w:val="00DD3DDB"/>
    <w:rsid w:val="00DD55AC"/>
    <w:rsid w:val="00DD7F0C"/>
    <w:rsid w:val="00DE3FB5"/>
    <w:rsid w:val="00DE5545"/>
    <w:rsid w:val="00DF376F"/>
    <w:rsid w:val="00DF671A"/>
    <w:rsid w:val="00E004B9"/>
    <w:rsid w:val="00E00560"/>
    <w:rsid w:val="00E011C2"/>
    <w:rsid w:val="00E020C4"/>
    <w:rsid w:val="00E02480"/>
    <w:rsid w:val="00E029F9"/>
    <w:rsid w:val="00E040B5"/>
    <w:rsid w:val="00E04649"/>
    <w:rsid w:val="00E04CFA"/>
    <w:rsid w:val="00E052FD"/>
    <w:rsid w:val="00E05598"/>
    <w:rsid w:val="00E06B54"/>
    <w:rsid w:val="00E0795D"/>
    <w:rsid w:val="00E113E2"/>
    <w:rsid w:val="00E11594"/>
    <w:rsid w:val="00E12CA3"/>
    <w:rsid w:val="00E16073"/>
    <w:rsid w:val="00E16ED5"/>
    <w:rsid w:val="00E1706F"/>
    <w:rsid w:val="00E200B3"/>
    <w:rsid w:val="00E22EAB"/>
    <w:rsid w:val="00E23895"/>
    <w:rsid w:val="00E32F00"/>
    <w:rsid w:val="00E350D5"/>
    <w:rsid w:val="00E35D71"/>
    <w:rsid w:val="00E40ECB"/>
    <w:rsid w:val="00E40F9D"/>
    <w:rsid w:val="00E42B93"/>
    <w:rsid w:val="00E46554"/>
    <w:rsid w:val="00E47047"/>
    <w:rsid w:val="00E4793F"/>
    <w:rsid w:val="00E52686"/>
    <w:rsid w:val="00E57D6A"/>
    <w:rsid w:val="00E63A7B"/>
    <w:rsid w:val="00E66262"/>
    <w:rsid w:val="00E66478"/>
    <w:rsid w:val="00E71D49"/>
    <w:rsid w:val="00E76654"/>
    <w:rsid w:val="00E76D92"/>
    <w:rsid w:val="00E77A3C"/>
    <w:rsid w:val="00E81260"/>
    <w:rsid w:val="00E84BBD"/>
    <w:rsid w:val="00E861D2"/>
    <w:rsid w:val="00E91988"/>
    <w:rsid w:val="00EA019E"/>
    <w:rsid w:val="00EA04A2"/>
    <w:rsid w:val="00EA08C9"/>
    <w:rsid w:val="00EA20AA"/>
    <w:rsid w:val="00EA4616"/>
    <w:rsid w:val="00EA56EA"/>
    <w:rsid w:val="00EA5D51"/>
    <w:rsid w:val="00EA71D7"/>
    <w:rsid w:val="00EB027A"/>
    <w:rsid w:val="00EB0DD5"/>
    <w:rsid w:val="00EB448F"/>
    <w:rsid w:val="00EB5F0B"/>
    <w:rsid w:val="00EB61B3"/>
    <w:rsid w:val="00EC0826"/>
    <w:rsid w:val="00EC0BE8"/>
    <w:rsid w:val="00EC1D3C"/>
    <w:rsid w:val="00EC38AE"/>
    <w:rsid w:val="00ED1BAC"/>
    <w:rsid w:val="00ED5076"/>
    <w:rsid w:val="00ED6D8B"/>
    <w:rsid w:val="00ED726F"/>
    <w:rsid w:val="00EE19AB"/>
    <w:rsid w:val="00EE232B"/>
    <w:rsid w:val="00EE3C52"/>
    <w:rsid w:val="00EE43EA"/>
    <w:rsid w:val="00EE7D7E"/>
    <w:rsid w:val="00EF0BA3"/>
    <w:rsid w:val="00EF34C8"/>
    <w:rsid w:val="00EF6863"/>
    <w:rsid w:val="00EF7180"/>
    <w:rsid w:val="00F03828"/>
    <w:rsid w:val="00F063C3"/>
    <w:rsid w:val="00F07D4C"/>
    <w:rsid w:val="00F111F6"/>
    <w:rsid w:val="00F112BC"/>
    <w:rsid w:val="00F124E0"/>
    <w:rsid w:val="00F12728"/>
    <w:rsid w:val="00F15DCD"/>
    <w:rsid w:val="00F202F4"/>
    <w:rsid w:val="00F2159C"/>
    <w:rsid w:val="00F25E8D"/>
    <w:rsid w:val="00F27CF8"/>
    <w:rsid w:val="00F320F8"/>
    <w:rsid w:val="00F33C38"/>
    <w:rsid w:val="00F35477"/>
    <w:rsid w:val="00F36DA2"/>
    <w:rsid w:val="00F42A9C"/>
    <w:rsid w:val="00F433BF"/>
    <w:rsid w:val="00F43530"/>
    <w:rsid w:val="00F45CF3"/>
    <w:rsid w:val="00F61889"/>
    <w:rsid w:val="00F61B6F"/>
    <w:rsid w:val="00F632EA"/>
    <w:rsid w:val="00F67AD9"/>
    <w:rsid w:val="00F71EDA"/>
    <w:rsid w:val="00F734A5"/>
    <w:rsid w:val="00F73C19"/>
    <w:rsid w:val="00F76335"/>
    <w:rsid w:val="00F83E90"/>
    <w:rsid w:val="00F8472D"/>
    <w:rsid w:val="00F8671E"/>
    <w:rsid w:val="00F87FF8"/>
    <w:rsid w:val="00F91BEF"/>
    <w:rsid w:val="00F92752"/>
    <w:rsid w:val="00F94807"/>
    <w:rsid w:val="00F94DF6"/>
    <w:rsid w:val="00FA1CB9"/>
    <w:rsid w:val="00FA6E4E"/>
    <w:rsid w:val="00FB2834"/>
    <w:rsid w:val="00FB3ACA"/>
    <w:rsid w:val="00FC03DF"/>
    <w:rsid w:val="00FC1D46"/>
    <w:rsid w:val="00FC42D9"/>
    <w:rsid w:val="00FC48CB"/>
    <w:rsid w:val="00FC4E75"/>
    <w:rsid w:val="00FC557B"/>
    <w:rsid w:val="00FD014E"/>
    <w:rsid w:val="00FD0F67"/>
    <w:rsid w:val="00FD116E"/>
    <w:rsid w:val="00FD4CBA"/>
    <w:rsid w:val="00FD7389"/>
    <w:rsid w:val="00FE02BC"/>
    <w:rsid w:val="00FE23BE"/>
    <w:rsid w:val="00FE3855"/>
    <w:rsid w:val="00FE4CF0"/>
    <w:rsid w:val="00FE51BD"/>
    <w:rsid w:val="00FE5314"/>
    <w:rsid w:val="00FE73B6"/>
    <w:rsid w:val="00FE7474"/>
    <w:rsid w:val="00FF13BB"/>
    <w:rsid w:val="00FF2B57"/>
    <w:rsid w:val="00FF362F"/>
    <w:rsid w:val="00FF50A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Colorful 2" w:uiPriority="0"/>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1F04"/>
  </w:style>
  <w:style w:type="paragraph" w:styleId="1">
    <w:name w:val="heading 1"/>
    <w:basedOn w:val="a0"/>
    <w:next w:val="a0"/>
    <w:link w:val="1Char"/>
    <w:uiPriority w:val="9"/>
    <w:qFormat/>
    <w:rsid w:val="00244445"/>
    <w:pPr>
      <w:keepNext/>
      <w:keepLines/>
      <w:spacing w:before="480" w:after="120"/>
      <w:outlineLvl w:val="0"/>
    </w:pPr>
    <w:rPr>
      <w:b/>
      <w:sz w:val="48"/>
      <w:szCs w:val="48"/>
    </w:rPr>
  </w:style>
  <w:style w:type="paragraph" w:styleId="2">
    <w:name w:val="heading 2"/>
    <w:basedOn w:val="a0"/>
    <w:next w:val="a0"/>
    <w:link w:val="2Char"/>
    <w:uiPriority w:val="1"/>
    <w:qFormat/>
    <w:rsid w:val="00244445"/>
    <w:pPr>
      <w:keepNext/>
      <w:keepLines/>
      <w:spacing w:before="360" w:after="80"/>
      <w:outlineLvl w:val="1"/>
    </w:pPr>
    <w:rPr>
      <w:b/>
      <w:sz w:val="36"/>
      <w:szCs w:val="36"/>
    </w:rPr>
  </w:style>
  <w:style w:type="paragraph" w:styleId="3">
    <w:name w:val="heading 3"/>
    <w:basedOn w:val="a0"/>
    <w:next w:val="a0"/>
    <w:link w:val="3Char"/>
    <w:uiPriority w:val="9"/>
    <w:qFormat/>
    <w:rsid w:val="00244445"/>
    <w:pPr>
      <w:keepNext/>
      <w:keepLines/>
      <w:spacing w:before="280" w:after="80"/>
      <w:outlineLvl w:val="2"/>
    </w:pPr>
    <w:rPr>
      <w:b/>
      <w:sz w:val="28"/>
      <w:szCs w:val="28"/>
    </w:rPr>
  </w:style>
  <w:style w:type="paragraph" w:styleId="4">
    <w:name w:val="heading 4"/>
    <w:basedOn w:val="a0"/>
    <w:next w:val="a0"/>
    <w:link w:val="4Char"/>
    <w:uiPriority w:val="9"/>
    <w:qFormat/>
    <w:rsid w:val="00244445"/>
    <w:pPr>
      <w:keepNext/>
      <w:keepLines/>
      <w:spacing w:before="240" w:after="40"/>
      <w:outlineLvl w:val="3"/>
    </w:pPr>
    <w:rPr>
      <w:b/>
      <w:sz w:val="24"/>
      <w:szCs w:val="24"/>
    </w:rPr>
  </w:style>
  <w:style w:type="paragraph" w:styleId="5">
    <w:name w:val="heading 5"/>
    <w:basedOn w:val="a0"/>
    <w:next w:val="a0"/>
    <w:link w:val="5Char"/>
    <w:uiPriority w:val="1"/>
    <w:qFormat/>
    <w:rsid w:val="00244445"/>
    <w:pPr>
      <w:keepNext/>
      <w:keepLines/>
      <w:spacing w:before="220" w:after="40"/>
      <w:outlineLvl w:val="4"/>
    </w:pPr>
    <w:rPr>
      <w:b/>
    </w:rPr>
  </w:style>
  <w:style w:type="paragraph" w:styleId="6">
    <w:name w:val="heading 6"/>
    <w:basedOn w:val="a0"/>
    <w:next w:val="a0"/>
    <w:link w:val="6Char"/>
    <w:uiPriority w:val="1"/>
    <w:qFormat/>
    <w:rsid w:val="00244445"/>
    <w:pPr>
      <w:keepNext/>
      <w:keepLines/>
      <w:spacing w:before="200" w:after="40"/>
      <w:outlineLvl w:val="5"/>
    </w:pPr>
    <w:rPr>
      <w:b/>
      <w:sz w:val="20"/>
      <w:szCs w:val="20"/>
    </w:rPr>
  </w:style>
  <w:style w:type="paragraph" w:styleId="7">
    <w:name w:val="heading 7"/>
    <w:basedOn w:val="a0"/>
    <w:next w:val="a0"/>
    <w:link w:val="7Char"/>
    <w:uiPriority w:val="1"/>
    <w:unhideWhenUsed/>
    <w:qFormat/>
    <w:rsid w:val="006C2C98"/>
    <w:pPr>
      <w:keepNext/>
      <w:keepLines/>
      <w:spacing w:before="200" w:after="0"/>
      <w:outlineLvl w:val="6"/>
    </w:pPr>
    <w:rPr>
      <w:rFonts w:ascii="Cambria" w:eastAsia="Times New Roman" w:hAnsi="Cambria" w:cs="Times New Roman"/>
      <w:i/>
      <w:iCs/>
      <w:color w:val="404040"/>
    </w:rPr>
  </w:style>
  <w:style w:type="paragraph" w:styleId="8">
    <w:name w:val="heading 8"/>
    <w:basedOn w:val="a0"/>
    <w:next w:val="a0"/>
    <w:link w:val="8Char"/>
    <w:uiPriority w:val="9"/>
    <w:semiHidden/>
    <w:unhideWhenUsed/>
    <w:qFormat/>
    <w:rsid w:val="006C2C98"/>
    <w:pPr>
      <w:bidi w:val="0"/>
      <w:spacing w:before="240" w:after="60" w:line="240" w:lineRule="auto"/>
      <w:outlineLvl w:val="7"/>
    </w:pPr>
    <w:rPr>
      <w:rFonts w:eastAsia="Times New Roman" w:cs="Arial"/>
      <w:i/>
      <w:iCs/>
      <w:sz w:val="24"/>
      <w:szCs w:val="24"/>
    </w:rPr>
  </w:style>
  <w:style w:type="paragraph" w:styleId="9">
    <w:name w:val="heading 9"/>
    <w:basedOn w:val="a0"/>
    <w:next w:val="a0"/>
    <w:link w:val="9Char"/>
    <w:uiPriority w:val="9"/>
    <w:semiHidden/>
    <w:unhideWhenUsed/>
    <w:qFormat/>
    <w:rsid w:val="006C2C98"/>
    <w:pPr>
      <w:keepNext/>
      <w:keepLines/>
      <w:spacing w:before="200" w:after="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Char"/>
    <w:uiPriority w:val="10"/>
    <w:qFormat/>
    <w:rsid w:val="00C326E8"/>
    <w:pPr>
      <w:bidi w:val="0"/>
      <w:spacing w:after="0" w:line="240" w:lineRule="auto"/>
      <w:jc w:val="center"/>
    </w:pPr>
    <w:rPr>
      <w:rFonts w:ascii="Times New Roman" w:eastAsia="Times New Roman" w:hAnsi="Times New Roman" w:cs="Times New Roman"/>
      <w:b/>
      <w:bCs/>
      <w:sz w:val="40"/>
      <w:szCs w:val="40"/>
      <w:lang w:eastAsia="ar-SA"/>
    </w:rPr>
  </w:style>
  <w:style w:type="table" w:styleId="a5">
    <w:name w:val="Table Grid"/>
    <w:basedOn w:val="a2"/>
    <w:uiPriority w:val="39"/>
    <w:rsid w:val="00DE3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a2"/>
    <w:uiPriority w:val="60"/>
    <w:rsid w:val="00DE352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a2"/>
    <w:uiPriority w:val="60"/>
    <w:rsid w:val="00DE352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2"/>
    <w:uiPriority w:val="60"/>
    <w:rsid w:val="00DE352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6">
    <w:name w:val="header"/>
    <w:basedOn w:val="a0"/>
    <w:link w:val="Char0"/>
    <w:uiPriority w:val="99"/>
    <w:unhideWhenUsed/>
    <w:rsid w:val="002A3ED3"/>
    <w:pPr>
      <w:tabs>
        <w:tab w:val="center" w:pos="4153"/>
        <w:tab w:val="right" w:pos="8306"/>
      </w:tabs>
      <w:spacing w:after="0" w:line="240" w:lineRule="auto"/>
    </w:pPr>
  </w:style>
  <w:style w:type="character" w:customStyle="1" w:styleId="Char0">
    <w:name w:val="رأس الصفحة Char"/>
    <w:basedOn w:val="a1"/>
    <w:link w:val="a6"/>
    <w:uiPriority w:val="99"/>
    <w:rsid w:val="002A3ED3"/>
  </w:style>
  <w:style w:type="paragraph" w:styleId="a7">
    <w:name w:val="footer"/>
    <w:basedOn w:val="a0"/>
    <w:link w:val="Char1"/>
    <w:uiPriority w:val="99"/>
    <w:unhideWhenUsed/>
    <w:qFormat/>
    <w:rsid w:val="002A3ED3"/>
    <w:pPr>
      <w:tabs>
        <w:tab w:val="center" w:pos="4153"/>
        <w:tab w:val="right" w:pos="8306"/>
      </w:tabs>
      <w:spacing w:after="0" w:line="240" w:lineRule="auto"/>
    </w:pPr>
  </w:style>
  <w:style w:type="character" w:customStyle="1" w:styleId="Char1">
    <w:name w:val="تذييل الصفحة Char"/>
    <w:basedOn w:val="a1"/>
    <w:link w:val="a7"/>
    <w:uiPriority w:val="99"/>
    <w:rsid w:val="002A3ED3"/>
  </w:style>
  <w:style w:type="paragraph" w:styleId="a8">
    <w:name w:val="Balloon Text"/>
    <w:basedOn w:val="a0"/>
    <w:link w:val="Char2"/>
    <w:uiPriority w:val="99"/>
    <w:unhideWhenUsed/>
    <w:rsid w:val="00CD7EAA"/>
    <w:pPr>
      <w:spacing w:after="0" w:line="240" w:lineRule="auto"/>
    </w:pPr>
    <w:rPr>
      <w:rFonts w:ascii="Tahoma" w:hAnsi="Tahoma" w:cs="Tahoma"/>
      <w:sz w:val="16"/>
      <w:szCs w:val="16"/>
    </w:rPr>
  </w:style>
  <w:style w:type="character" w:customStyle="1" w:styleId="Char2">
    <w:name w:val="نص في بالون Char"/>
    <w:basedOn w:val="a1"/>
    <w:link w:val="a8"/>
    <w:uiPriority w:val="99"/>
    <w:rsid w:val="00CD7EAA"/>
    <w:rPr>
      <w:rFonts w:ascii="Tahoma" w:hAnsi="Tahoma" w:cs="Tahoma"/>
      <w:sz w:val="16"/>
      <w:szCs w:val="16"/>
    </w:rPr>
  </w:style>
  <w:style w:type="character" w:styleId="Hyperlink">
    <w:name w:val="Hyperlink"/>
    <w:basedOn w:val="a1"/>
    <w:uiPriority w:val="99"/>
    <w:unhideWhenUsed/>
    <w:rsid w:val="00EF6327"/>
    <w:rPr>
      <w:color w:val="0000FF" w:themeColor="hyperlink"/>
      <w:u w:val="single"/>
    </w:rPr>
  </w:style>
  <w:style w:type="paragraph" w:styleId="a9">
    <w:name w:val="List Paragraph"/>
    <w:basedOn w:val="a0"/>
    <w:link w:val="Char3"/>
    <w:uiPriority w:val="34"/>
    <w:qFormat/>
    <w:rsid w:val="008E1DC3"/>
    <w:pPr>
      <w:ind w:left="720"/>
      <w:contextualSpacing/>
    </w:pPr>
  </w:style>
  <w:style w:type="character" w:customStyle="1" w:styleId="apple-converted-space">
    <w:name w:val="apple-converted-space"/>
    <w:basedOn w:val="a1"/>
    <w:rsid w:val="00E967E4"/>
  </w:style>
  <w:style w:type="character" w:customStyle="1" w:styleId="highlight">
    <w:name w:val="highlight"/>
    <w:basedOn w:val="a1"/>
    <w:rsid w:val="00846093"/>
  </w:style>
  <w:style w:type="table" w:customStyle="1" w:styleId="TableGrid1">
    <w:name w:val="Table Grid1"/>
    <w:basedOn w:val="a2"/>
    <w:next w:val="a5"/>
    <w:rsid w:val="00DE4E0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w:basedOn w:val="a0"/>
    <w:link w:val="Char4"/>
    <w:uiPriority w:val="1"/>
    <w:qFormat/>
    <w:rsid w:val="00233D82"/>
    <w:pPr>
      <w:bidi w:val="0"/>
      <w:spacing w:after="120"/>
    </w:pPr>
    <w:rPr>
      <w:rFonts w:eastAsia="Times New Roman" w:cs="Arial"/>
    </w:rPr>
  </w:style>
  <w:style w:type="character" w:customStyle="1" w:styleId="Char4">
    <w:name w:val="نص أساسي Char"/>
    <w:basedOn w:val="a1"/>
    <w:link w:val="aa"/>
    <w:uiPriority w:val="1"/>
    <w:rsid w:val="00233D82"/>
    <w:rPr>
      <w:rFonts w:ascii="Calibri" w:eastAsia="Times New Roman" w:hAnsi="Calibri" w:cs="Arial"/>
    </w:rPr>
  </w:style>
  <w:style w:type="paragraph" w:customStyle="1" w:styleId="bb">
    <w:name w:val="bb"/>
    <w:basedOn w:val="a0"/>
    <w:rsid w:val="00C326E8"/>
    <w:pPr>
      <w:bidi w:val="0"/>
      <w:spacing w:after="240" w:line="360" w:lineRule="auto"/>
      <w:ind w:firstLine="567"/>
      <w:jc w:val="lowKashida"/>
    </w:pPr>
    <w:rPr>
      <w:rFonts w:ascii="Times New Roman" w:eastAsia="Times New Roman" w:hAnsi="Times New Roman" w:cs="Times New Roman"/>
      <w:sz w:val="30"/>
      <w:szCs w:val="28"/>
      <w:lang w:eastAsia="ar-SA"/>
    </w:rPr>
  </w:style>
  <w:style w:type="character" w:customStyle="1" w:styleId="Char">
    <w:name w:val="العنوان Char"/>
    <w:basedOn w:val="a1"/>
    <w:link w:val="a4"/>
    <w:uiPriority w:val="10"/>
    <w:rsid w:val="00C326E8"/>
    <w:rPr>
      <w:rFonts w:ascii="Times New Roman" w:eastAsia="Times New Roman" w:hAnsi="Times New Roman" w:cs="Times New Roman"/>
      <w:b/>
      <w:bCs/>
      <w:sz w:val="40"/>
      <w:szCs w:val="40"/>
      <w:lang w:eastAsia="ar-SA"/>
    </w:rPr>
  </w:style>
  <w:style w:type="character" w:styleId="ab">
    <w:name w:val="Placeholder Text"/>
    <w:basedOn w:val="a1"/>
    <w:uiPriority w:val="99"/>
    <w:semiHidden/>
    <w:rsid w:val="006B5415"/>
    <w:rPr>
      <w:color w:val="808080"/>
    </w:rPr>
  </w:style>
  <w:style w:type="paragraph" w:styleId="ac">
    <w:name w:val="Subtitle"/>
    <w:basedOn w:val="a0"/>
    <w:next w:val="a0"/>
    <w:link w:val="Char5"/>
    <w:uiPriority w:val="11"/>
    <w:qFormat/>
    <w:rsid w:val="00244445"/>
    <w:pPr>
      <w:keepNext/>
      <w:keepLines/>
      <w:spacing w:before="360" w:after="80"/>
    </w:pPr>
    <w:rPr>
      <w:rFonts w:ascii="Georgia" w:eastAsia="Georgia" w:hAnsi="Georgia" w:cs="Georgia"/>
      <w:i/>
      <w:color w:val="666666"/>
      <w:sz w:val="48"/>
      <w:szCs w:val="48"/>
    </w:rPr>
  </w:style>
  <w:style w:type="table" w:customStyle="1" w:styleId="ad">
    <w:basedOn w:val="a2"/>
    <w:rsid w:val="00244445"/>
    <w:tblPr>
      <w:tblStyleRowBandSize w:val="1"/>
      <w:tblStyleColBandSize w:val="1"/>
      <w:tblInd w:w="0" w:type="dxa"/>
      <w:tblCellMar>
        <w:top w:w="0" w:type="dxa"/>
        <w:left w:w="115" w:type="dxa"/>
        <w:bottom w:w="0" w:type="dxa"/>
        <w:right w:w="115" w:type="dxa"/>
      </w:tblCellMar>
    </w:tblPr>
  </w:style>
  <w:style w:type="table" w:customStyle="1" w:styleId="ae">
    <w:basedOn w:val="a2"/>
    <w:rsid w:val="00244445"/>
    <w:tblPr>
      <w:tblStyleRowBandSize w:val="1"/>
      <w:tblStyleColBandSize w:val="1"/>
      <w:tblInd w:w="0" w:type="dxa"/>
      <w:tblCellMar>
        <w:top w:w="0" w:type="dxa"/>
        <w:left w:w="115" w:type="dxa"/>
        <w:bottom w:w="0" w:type="dxa"/>
        <w:right w:w="115" w:type="dxa"/>
      </w:tblCellMar>
    </w:tblPr>
  </w:style>
  <w:style w:type="table" w:customStyle="1" w:styleId="af">
    <w:basedOn w:val="a2"/>
    <w:rsid w:val="00244445"/>
    <w:tblPr>
      <w:tblStyleRowBandSize w:val="1"/>
      <w:tblStyleColBandSize w:val="1"/>
      <w:tblInd w:w="0" w:type="dxa"/>
      <w:tblCellMar>
        <w:top w:w="0" w:type="dxa"/>
        <w:left w:w="115" w:type="dxa"/>
        <w:bottom w:w="0" w:type="dxa"/>
        <w:right w:w="115" w:type="dxa"/>
      </w:tblCellMar>
    </w:tblPr>
  </w:style>
  <w:style w:type="table" w:customStyle="1" w:styleId="af0">
    <w:basedOn w:val="a2"/>
    <w:rsid w:val="00244445"/>
    <w:tblPr>
      <w:tblStyleRowBandSize w:val="1"/>
      <w:tblStyleColBandSize w:val="1"/>
      <w:tblInd w:w="0" w:type="dxa"/>
      <w:tblCellMar>
        <w:top w:w="0" w:type="dxa"/>
        <w:left w:w="115" w:type="dxa"/>
        <w:bottom w:w="0" w:type="dxa"/>
        <w:right w:w="115" w:type="dxa"/>
      </w:tblCellMar>
    </w:tblPr>
  </w:style>
  <w:style w:type="table" w:customStyle="1" w:styleId="af1">
    <w:basedOn w:val="a2"/>
    <w:rsid w:val="00244445"/>
    <w:tblPr>
      <w:tblStyleRowBandSize w:val="1"/>
      <w:tblStyleColBandSize w:val="1"/>
      <w:tblInd w:w="0" w:type="dxa"/>
      <w:tblCellMar>
        <w:top w:w="0" w:type="dxa"/>
        <w:left w:w="115" w:type="dxa"/>
        <w:bottom w:w="0" w:type="dxa"/>
        <w:right w:w="115" w:type="dxa"/>
      </w:tblCellMar>
    </w:tblPr>
  </w:style>
  <w:style w:type="table" w:customStyle="1" w:styleId="af2">
    <w:basedOn w:val="a2"/>
    <w:rsid w:val="00244445"/>
    <w:tblPr>
      <w:tblStyleRowBandSize w:val="1"/>
      <w:tblStyleColBandSize w:val="1"/>
      <w:tblInd w:w="0" w:type="dxa"/>
      <w:tblCellMar>
        <w:top w:w="0" w:type="dxa"/>
        <w:left w:w="115" w:type="dxa"/>
        <w:bottom w:w="0" w:type="dxa"/>
        <w:right w:w="115" w:type="dxa"/>
      </w:tblCellMar>
    </w:tblPr>
  </w:style>
  <w:style w:type="table" w:customStyle="1" w:styleId="af3">
    <w:basedOn w:val="a2"/>
    <w:rsid w:val="00244445"/>
    <w:tblPr>
      <w:tblStyleRowBandSize w:val="1"/>
      <w:tblStyleColBandSize w:val="1"/>
      <w:tblInd w:w="0" w:type="dxa"/>
      <w:tblCellMar>
        <w:top w:w="0" w:type="dxa"/>
        <w:left w:w="115" w:type="dxa"/>
        <w:bottom w:w="0" w:type="dxa"/>
        <w:right w:w="115" w:type="dxa"/>
      </w:tblCellMar>
    </w:tblPr>
  </w:style>
  <w:style w:type="table" w:customStyle="1" w:styleId="af4">
    <w:basedOn w:val="a2"/>
    <w:rsid w:val="00244445"/>
    <w:tblPr>
      <w:tblStyleRowBandSize w:val="1"/>
      <w:tblStyleColBandSize w:val="1"/>
      <w:tblInd w:w="0" w:type="dxa"/>
      <w:tblCellMar>
        <w:top w:w="0" w:type="dxa"/>
        <w:left w:w="115" w:type="dxa"/>
        <w:bottom w:w="0" w:type="dxa"/>
        <w:right w:w="115" w:type="dxa"/>
      </w:tblCellMar>
    </w:tblPr>
  </w:style>
  <w:style w:type="table" w:customStyle="1" w:styleId="af5">
    <w:basedOn w:val="a2"/>
    <w:rsid w:val="00244445"/>
    <w:tblPr>
      <w:tblStyleRowBandSize w:val="1"/>
      <w:tblStyleColBandSize w:val="1"/>
      <w:tblInd w:w="0" w:type="dxa"/>
      <w:tblCellMar>
        <w:top w:w="0" w:type="dxa"/>
        <w:left w:w="115" w:type="dxa"/>
        <w:bottom w:w="0" w:type="dxa"/>
        <w:right w:w="115" w:type="dxa"/>
      </w:tblCellMar>
    </w:tblPr>
  </w:style>
  <w:style w:type="character" w:customStyle="1" w:styleId="cit-vol">
    <w:name w:val="cit-vol"/>
    <w:rsid w:val="00D73649"/>
  </w:style>
  <w:style w:type="character" w:customStyle="1" w:styleId="cit-fpage">
    <w:name w:val="cit-fpage"/>
    <w:rsid w:val="00D73649"/>
  </w:style>
  <w:style w:type="character" w:customStyle="1" w:styleId="article-title">
    <w:name w:val="article-title"/>
    <w:rsid w:val="00D73649"/>
  </w:style>
  <w:style w:type="character" w:customStyle="1" w:styleId="source">
    <w:name w:val="source"/>
    <w:rsid w:val="00D73649"/>
  </w:style>
  <w:style w:type="character" w:customStyle="1" w:styleId="volume">
    <w:name w:val="volume"/>
    <w:rsid w:val="00D73649"/>
  </w:style>
  <w:style w:type="character" w:customStyle="1" w:styleId="fpage">
    <w:name w:val="fpage"/>
    <w:rsid w:val="00D73649"/>
  </w:style>
  <w:style w:type="character" w:customStyle="1" w:styleId="lpage">
    <w:name w:val="lpage"/>
    <w:rsid w:val="00D73649"/>
  </w:style>
  <w:style w:type="paragraph" w:styleId="20">
    <w:name w:val="Body Text 2"/>
    <w:basedOn w:val="a0"/>
    <w:link w:val="2Char0"/>
    <w:uiPriority w:val="99"/>
    <w:semiHidden/>
    <w:unhideWhenUsed/>
    <w:rsid w:val="00C809AA"/>
    <w:pPr>
      <w:spacing w:after="120" w:line="480" w:lineRule="auto"/>
    </w:pPr>
  </w:style>
  <w:style w:type="character" w:customStyle="1" w:styleId="2Char0">
    <w:name w:val="نص أساسي 2 Char"/>
    <w:basedOn w:val="a1"/>
    <w:link w:val="20"/>
    <w:uiPriority w:val="99"/>
    <w:semiHidden/>
    <w:rsid w:val="00C809AA"/>
  </w:style>
  <w:style w:type="character" w:customStyle="1" w:styleId="7Char">
    <w:name w:val="عنوان 7 Char"/>
    <w:basedOn w:val="a1"/>
    <w:link w:val="7"/>
    <w:uiPriority w:val="1"/>
    <w:semiHidden/>
    <w:rsid w:val="006C2C98"/>
    <w:rPr>
      <w:rFonts w:ascii="Cambria" w:eastAsia="Times New Roman" w:hAnsi="Cambria" w:cs="Times New Roman"/>
      <w:i/>
      <w:iCs/>
      <w:color w:val="404040"/>
    </w:rPr>
  </w:style>
  <w:style w:type="character" w:customStyle="1" w:styleId="8Char">
    <w:name w:val="عنوان 8 Char"/>
    <w:basedOn w:val="a1"/>
    <w:link w:val="8"/>
    <w:uiPriority w:val="9"/>
    <w:semiHidden/>
    <w:rsid w:val="006C2C98"/>
    <w:rPr>
      <w:rFonts w:eastAsia="Times New Roman" w:cs="Arial"/>
      <w:i/>
      <w:iCs/>
      <w:sz w:val="24"/>
      <w:szCs w:val="24"/>
    </w:rPr>
  </w:style>
  <w:style w:type="character" w:customStyle="1" w:styleId="9Char">
    <w:name w:val="عنوان 9 Char"/>
    <w:basedOn w:val="a1"/>
    <w:link w:val="9"/>
    <w:uiPriority w:val="9"/>
    <w:semiHidden/>
    <w:rsid w:val="006C2C98"/>
    <w:rPr>
      <w:rFonts w:ascii="Cambria" w:eastAsia="Times New Roman" w:hAnsi="Cambria" w:cs="Times New Roman"/>
      <w:i/>
      <w:iCs/>
      <w:color w:val="404040"/>
      <w:sz w:val="20"/>
      <w:szCs w:val="20"/>
    </w:rPr>
  </w:style>
  <w:style w:type="character" w:styleId="af6">
    <w:name w:val="page number"/>
    <w:basedOn w:val="a1"/>
    <w:rsid w:val="006C2C98"/>
  </w:style>
  <w:style w:type="paragraph" w:styleId="af7">
    <w:name w:val="Normal (Web)"/>
    <w:basedOn w:val="a0"/>
    <w:uiPriority w:val="99"/>
    <w:unhideWhenUsed/>
    <w:rsid w:val="006C2C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rsid w:val="006C2C98"/>
    <w:rPr>
      <w:i w:val="0"/>
      <w:iCs w:val="0"/>
    </w:rPr>
  </w:style>
  <w:style w:type="character" w:customStyle="1" w:styleId="googqs-tidbit1">
    <w:name w:val="goog_qs-tidbit1"/>
    <w:rsid w:val="006C2C98"/>
    <w:rPr>
      <w:vanish w:val="0"/>
      <w:webHidden w:val="0"/>
      <w:specVanish w:val="0"/>
    </w:rPr>
  </w:style>
  <w:style w:type="character" w:customStyle="1" w:styleId="name">
    <w:name w:val="name"/>
    <w:rsid w:val="006C2C98"/>
  </w:style>
  <w:style w:type="table" w:customStyle="1" w:styleId="TableGrid">
    <w:name w:val="TableGrid"/>
    <w:rsid w:val="006C2C98"/>
    <w:pPr>
      <w:bidi w:val="0"/>
      <w:spacing w:after="0" w:line="240" w:lineRule="auto"/>
    </w:pPr>
    <w:rPr>
      <w:rFonts w:eastAsia="Times New Roman" w:cs="Arial"/>
    </w:rPr>
    <w:tblPr>
      <w:tblCellMar>
        <w:top w:w="0" w:type="dxa"/>
        <w:left w:w="0" w:type="dxa"/>
        <w:bottom w:w="0" w:type="dxa"/>
        <w:right w:w="0" w:type="dxa"/>
      </w:tblCellMar>
    </w:tblPr>
  </w:style>
  <w:style w:type="character" w:styleId="af8">
    <w:name w:val="Strong"/>
    <w:uiPriority w:val="22"/>
    <w:qFormat/>
    <w:rsid w:val="006C2C98"/>
    <w:rPr>
      <w:b/>
      <w:bCs/>
    </w:rPr>
  </w:style>
  <w:style w:type="paragraph" w:customStyle="1" w:styleId="text14">
    <w:name w:val="text14"/>
    <w:basedOn w:val="a0"/>
    <w:rsid w:val="006C2C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link w:val="2"/>
    <w:uiPriority w:val="1"/>
    <w:rsid w:val="006C2C98"/>
    <w:rPr>
      <w:b/>
      <w:sz w:val="36"/>
      <w:szCs w:val="36"/>
    </w:rPr>
  </w:style>
  <w:style w:type="table" w:customStyle="1" w:styleId="GridTable3-Accent11">
    <w:name w:val="Grid Table 3 - Accent 11"/>
    <w:basedOn w:val="a2"/>
    <w:next w:val="a2"/>
    <w:uiPriority w:val="48"/>
    <w:rsid w:val="006C2C98"/>
    <w:pPr>
      <w:bidi w:val="0"/>
      <w:spacing w:after="0" w:line="240" w:lineRule="auto"/>
    </w:pPr>
    <w:rPr>
      <w:rFonts w:cs="Arial"/>
      <w:lang w:bidi="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111">
    <w:name w:val="Grid Table 3 - Accent 111"/>
    <w:basedOn w:val="a2"/>
    <w:next w:val="a2"/>
    <w:uiPriority w:val="48"/>
    <w:rsid w:val="006C2C98"/>
    <w:pPr>
      <w:bidi w:val="0"/>
      <w:spacing w:after="0" w:line="240" w:lineRule="auto"/>
    </w:pPr>
    <w:rPr>
      <w:rFonts w:cs="Arial"/>
      <w:lang w:bidi="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11">
    <w:name w:val="Grid Table 4 - Accent 11"/>
    <w:basedOn w:val="a2"/>
    <w:uiPriority w:val="49"/>
    <w:rsid w:val="006C2C98"/>
    <w:pPr>
      <w:bidi w:val="0"/>
      <w:spacing w:after="0" w:line="240" w:lineRule="auto"/>
    </w:pPr>
    <w:rPr>
      <w:rFonts w:cs="Arial"/>
      <w:lang w:bidi="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af9">
    <w:name w:val="Emphasis"/>
    <w:uiPriority w:val="20"/>
    <w:qFormat/>
    <w:rsid w:val="006C2C98"/>
    <w:rPr>
      <w:rFonts w:cs="Times New Roman"/>
      <w:i/>
      <w:iCs/>
    </w:rPr>
  </w:style>
  <w:style w:type="paragraph" w:customStyle="1" w:styleId="b1">
    <w:name w:val="b1"/>
    <w:basedOn w:val="a0"/>
    <w:rsid w:val="006C2C98"/>
    <w:pPr>
      <w:bidi w:val="0"/>
      <w:spacing w:after="240" w:line="360" w:lineRule="auto"/>
      <w:ind w:firstLine="567"/>
      <w:jc w:val="lowKashida"/>
    </w:pPr>
    <w:rPr>
      <w:rFonts w:ascii="Times New Roman" w:eastAsia="Times New Roman" w:hAnsi="Times New Roman" w:cs="Times New Roman"/>
      <w:sz w:val="30"/>
      <w:szCs w:val="28"/>
      <w:lang w:eastAsia="ar-SA" w:bidi="ar-EG"/>
    </w:rPr>
  </w:style>
  <w:style w:type="character" w:customStyle="1" w:styleId="1Char">
    <w:name w:val="عنوان 1 Char"/>
    <w:link w:val="1"/>
    <w:uiPriority w:val="9"/>
    <w:rsid w:val="006C2C98"/>
    <w:rPr>
      <w:b/>
      <w:sz w:val="48"/>
      <w:szCs w:val="48"/>
    </w:rPr>
  </w:style>
  <w:style w:type="character" w:customStyle="1" w:styleId="3Char">
    <w:name w:val="عنوان 3 Char"/>
    <w:link w:val="3"/>
    <w:uiPriority w:val="9"/>
    <w:rsid w:val="006C2C98"/>
    <w:rPr>
      <w:b/>
      <w:sz w:val="28"/>
      <w:szCs w:val="28"/>
    </w:rPr>
  </w:style>
  <w:style w:type="character" w:customStyle="1" w:styleId="4Char">
    <w:name w:val="عنوان 4 Char"/>
    <w:link w:val="4"/>
    <w:uiPriority w:val="9"/>
    <w:rsid w:val="006C2C98"/>
    <w:rPr>
      <w:b/>
      <w:sz w:val="24"/>
      <w:szCs w:val="24"/>
    </w:rPr>
  </w:style>
  <w:style w:type="character" w:customStyle="1" w:styleId="5Char">
    <w:name w:val="عنوان 5 Char"/>
    <w:link w:val="5"/>
    <w:uiPriority w:val="1"/>
    <w:rsid w:val="006C2C98"/>
    <w:rPr>
      <w:b/>
    </w:rPr>
  </w:style>
  <w:style w:type="character" w:customStyle="1" w:styleId="6Char">
    <w:name w:val="عنوان 6 Char"/>
    <w:link w:val="6"/>
    <w:uiPriority w:val="1"/>
    <w:rsid w:val="006C2C98"/>
    <w:rPr>
      <w:b/>
      <w:sz w:val="20"/>
      <w:szCs w:val="20"/>
    </w:rPr>
  </w:style>
  <w:style w:type="table" w:customStyle="1" w:styleId="LightList1">
    <w:name w:val="Light List1"/>
    <w:basedOn w:val="a2"/>
    <w:uiPriority w:val="61"/>
    <w:rsid w:val="006C2C98"/>
    <w:pPr>
      <w:bidi w:val="0"/>
      <w:spacing w:after="0" w:line="240" w:lineRule="auto"/>
    </w:pPr>
    <w:rPr>
      <w:rFonts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a">
    <w:name w:val="No Spacing"/>
    <w:link w:val="Char6"/>
    <w:uiPriority w:val="99"/>
    <w:qFormat/>
    <w:rsid w:val="006C2C98"/>
    <w:pPr>
      <w:bidi w:val="0"/>
      <w:spacing w:after="0" w:line="240" w:lineRule="auto"/>
    </w:pPr>
    <w:rPr>
      <w:rFonts w:cs="Arial"/>
    </w:rPr>
  </w:style>
  <w:style w:type="character" w:customStyle="1" w:styleId="Char5">
    <w:name w:val="عنوان فرعي Char"/>
    <w:link w:val="ac"/>
    <w:uiPriority w:val="11"/>
    <w:rsid w:val="006C2C98"/>
    <w:rPr>
      <w:rFonts w:ascii="Georgia" w:eastAsia="Georgia" w:hAnsi="Georgia" w:cs="Georgia"/>
      <w:i/>
      <w:color w:val="666666"/>
      <w:sz w:val="48"/>
      <w:szCs w:val="48"/>
    </w:rPr>
  </w:style>
  <w:style w:type="character" w:styleId="afb">
    <w:name w:val="Subtle Emphasis"/>
    <w:qFormat/>
    <w:rsid w:val="006C2C98"/>
    <w:rPr>
      <w:i/>
      <w:iCs/>
      <w:color w:val="808080"/>
    </w:rPr>
  </w:style>
  <w:style w:type="character" w:styleId="afc">
    <w:name w:val="Intense Emphasis"/>
    <w:uiPriority w:val="21"/>
    <w:qFormat/>
    <w:rsid w:val="006C2C98"/>
    <w:rPr>
      <w:b/>
      <w:bCs/>
      <w:i/>
      <w:iCs/>
      <w:color w:val="4F81BD"/>
    </w:rPr>
  </w:style>
  <w:style w:type="paragraph" w:styleId="afd">
    <w:name w:val="Quote"/>
    <w:basedOn w:val="a0"/>
    <w:next w:val="a0"/>
    <w:link w:val="Char7"/>
    <w:uiPriority w:val="29"/>
    <w:qFormat/>
    <w:rsid w:val="006C2C98"/>
    <w:rPr>
      <w:rFonts w:cs="Arial"/>
      <w:i/>
      <w:iCs/>
      <w:color w:val="000000"/>
    </w:rPr>
  </w:style>
  <w:style w:type="character" w:customStyle="1" w:styleId="Char7">
    <w:name w:val="اقتباس Char"/>
    <w:basedOn w:val="a1"/>
    <w:link w:val="afd"/>
    <w:uiPriority w:val="29"/>
    <w:rsid w:val="006C2C98"/>
    <w:rPr>
      <w:rFonts w:cs="Arial"/>
      <w:i/>
      <w:iCs/>
      <w:color w:val="000000"/>
    </w:rPr>
  </w:style>
  <w:style w:type="paragraph" w:styleId="afe">
    <w:name w:val="Intense Quote"/>
    <w:basedOn w:val="a0"/>
    <w:next w:val="a0"/>
    <w:link w:val="Char8"/>
    <w:uiPriority w:val="30"/>
    <w:qFormat/>
    <w:rsid w:val="006C2C98"/>
    <w:pPr>
      <w:pBdr>
        <w:bottom w:val="single" w:sz="4" w:space="4" w:color="4F81BD"/>
      </w:pBdr>
      <w:spacing w:before="200" w:after="280"/>
      <w:ind w:left="936" w:right="936"/>
    </w:pPr>
    <w:rPr>
      <w:rFonts w:cs="Arial"/>
      <w:b/>
      <w:bCs/>
      <w:i/>
      <w:iCs/>
      <w:color w:val="4F81BD"/>
    </w:rPr>
  </w:style>
  <w:style w:type="character" w:customStyle="1" w:styleId="Char8">
    <w:name w:val="اقتباس مكثف Char"/>
    <w:basedOn w:val="a1"/>
    <w:link w:val="afe"/>
    <w:uiPriority w:val="30"/>
    <w:rsid w:val="006C2C98"/>
    <w:rPr>
      <w:rFonts w:cs="Arial"/>
      <w:b/>
      <w:bCs/>
      <w:i/>
      <w:iCs/>
      <w:color w:val="4F81BD"/>
    </w:rPr>
  </w:style>
  <w:style w:type="character" w:styleId="aff">
    <w:name w:val="Subtle Reference"/>
    <w:uiPriority w:val="31"/>
    <w:qFormat/>
    <w:rsid w:val="006C2C98"/>
    <w:rPr>
      <w:smallCaps/>
      <w:color w:val="C0504D"/>
      <w:u w:val="single"/>
    </w:rPr>
  </w:style>
  <w:style w:type="character" w:styleId="aff0">
    <w:name w:val="Intense Reference"/>
    <w:uiPriority w:val="32"/>
    <w:qFormat/>
    <w:rsid w:val="006C2C98"/>
    <w:rPr>
      <w:b/>
      <w:bCs/>
      <w:smallCaps/>
      <w:color w:val="C0504D"/>
      <w:spacing w:val="5"/>
      <w:u w:val="single"/>
    </w:rPr>
  </w:style>
  <w:style w:type="character" w:styleId="aff1">
    <w:name w:val="Book Title"/>
    <w:uiPriority w:val="33"/>
    <w:qFormat/>
    <w:rsid w:val="006C2C98"/>
    <w:rPr>
      <w:b/>
      <w:bCs/>
      <w:smallCaps/>
      <w:spacing w:val="5"/>
    </w:rPr>
  </w:style>
  <w:style w:type="paragraph" w:styleId="aff2">
    <w:name w:val="footnote text"/>
    <w:basedOn w:val="a0"/>
    <w:link w:val="Char9"/>
    <w:uiPriority w:val="99"/>
    <w:unhideWhenUsed/>
    <w:rsid w:val="006C2C98"/>
    <w:pPr>
      <w:spacing w:after="0" w:line="240" w:lineRule="auto"/>
    </w:pPr>
    <w:rPr>
      <w:rFonts w:cs="Arial"/>
      <w:sz w:val="20"/>
      <w:szCs w:val="20"/>
    </w:rPr>
  </w:style>
  <w:style w:type="character" w:customStyle="1" w:styleId="Char9">
    <w:name w:val="نص حاشية سفلية Char"/>
    <w:basedOn w:val="a1"/>
    <w:link w:val="aff2"/>
    <w:uiPriority w:val="99"/>
    <w:rsid w:val="006C2C98"/>
    <w:rPr>
      <w:rFonts w:cs="Arial"/>
      <w:sz w:val="20"/>
      <w:szCs w:val="20"/>
    </w:rPr>
  </w:style>
  <w:style w:type="character" w:styleId="aff3">
    <w:name w:val="footnote reference"/>
    <w:uiPriority w:val="99"/>
    <w:semiHidden/>
    <w:unhideWhenUsed/>
    <w:rsid w:val="006C2C98"/>
    <w:rPr>
      <w:vertAlign w:val="superscript"/>
    </w:rPr>
  </w:style>
  <w:style w:type="paragraph" w:styleId="aff4">
    <w:name w:val="endnote text"/>
    <w:basedOn w:val="a0"/>
    <w:link w:val="Chara"/>
    <w:uiPriority w:val="99"/>
    <w:semiHidden/>
    <w:unhideWhenUsed/>
    <w:rsid w:val="006C2C98"/>
    <w:pPr>
      <w:spacing w:after="0" w:line="240" w:lineRule="auto"/>
    </w:pPr>
    <w:rPr>
      <w:rFonts w:cs="Arial"/>
      <w:sz w:val="20"/>
      <w:szCs w:val="20"/>
    </w:rPr>
  </w:style>
  <w:style w:type="character" w:customStyle="1" w:styleId="Chara">
    <w:name w:val="نص تعليق ختامي Char"/>
    <w:basedOn w:val="a1"/>
    <w:link w:val="aff4"/>
    <w:uiPriority w:val="99"/>
    <w:semiHidden/>
    <w:rsid w:val="006C2C98"/>
    <w:rPr>
      <w:rFonts w:cs="Arial"/>
      <w:sz w:val="20"/>
      <w:szCs w:val="20"/>
    </w:rPr>
  </w:style>
  <w:style w:type="character" w:styleId="aff5">
    <w:name w:val="endnote reference"/>
    <w:uiPriority w:val="99"/>
    <w:semiHidden/>
    <w:unhideWhenUsed/>
    <w:rsid w:val="006C2C98"/>
    <w:rPr>
      <w:vertAlign w:val="superscript"/>
    </w:rPr>
  </w:style>
  <w:style w:type="paragraph" w:styleId="aff6">
    <w:name w:val="Plain Text"/>
    <w:basedOn w:val="a0"/>
    <w:link w:val="Charb"/>
    <w:uiPriority w:val="99"/>
    <w:semiHidden/>
    <w:unhideWhenUsed/>
    <w:rsid w:val="006C2C98"/>
    <w:pPr>
      <w:spacing w:after="0" w:line="240" w:lineRule="auto"/>
    </w:pPr>
    <w:rPr>
      <w:rFonts w:ascii="Courier New" w:hAnsi="Courier New" w:cs="Courier New"/>
      <w:sz w:val="21"/>
      <w:szCs w:val="21"/>
    </w:rPr>
  </w:style>
  <w:style w:type="character" w:customStyle="1" w:styleId="Charb">
    <w:name w:val="نص عادي Char"/>
    <w:basedOn w:val="a1"/>
    <w:link w:val="aff6"/>
    <w:uiPriority w:val="99"/>
    <w:semiHidden/>
    <w:rsid w:val="006C2C98"/>
    <w:rPr>
      <w:rFonts w:ascii="Courier New" w:hAnsi="Courier New" w:cs="Courier New"/>
      <w:sz w:val="21"/>
      <w:szCs w:val="21"/>
    </w:rPr>
  </w:style>
  <w:style w:type="paragraph" w:styleId="aff7">
    <w:name w:val="envelope address"/>
    <w:basedOn w:val="a0"/>
    <w:uiPriority w:val="99"/>
    <w:unhideWhenUsed/>
    <w:rsid w:val="006C2C98"/>
    <w:pPr>
      <w:spacing w:after="0" w:line="240" w:lineRule="auto"/>
      <w:ind w:left="2880"/>
    </w:pPr>
    <w:rPr>
      <w:rFonts w:ascii="Cambria" w:eastAsia="Times New Roman" w:hAnsi="Cambria" w:cs="Times New Roman"/>
      <w:sz w:val="24"/>
    </w:rPr>
  </w:style>
  <w:style w:type="paragraph" w:styleId="aff8">
    <w:name w:val="envelope return"/>
    <w:basedOn w:val="a0"/>
    <w:uiPriority w:val="99"/>
    <w:unhideWhenUsed/>
    <w:rsid w:val="006C2C98"/>
    <w:pPr>
      <w:spacing w:after="0" w:line="240" w:lineRule="auto"/>
    </w:pPr>
    <w:rPr>
      <w:rFonts w:ascii="Cambria" w:eastAsia="Times New Roman" w:hAnsi="Cambria" w:cs="Times New Roman"/>
      <w:sz w:val="20"/>
    </w:rPr>
  </w:style>
  <w:style w:type="character" w:customStyle="1" w:styleId="label">
    <w:name w:val="label"/>
    <w:rsid w:val="006C2C98"/>
  </w:style>
  <w:style w:type="character" w:customStyle="1" w:styleId="surname">
    <w:name w:val="surname"/>
    <w:rsid w:val="006C2C98"/>
  </w:style>
  <w:style w:type="character" w:customStyle="1" w:styleId="given-names">
    <w:name w:val="given-names"/>
    <w:rsid w:val="006C2C98"/>
  </w:style>
  <w:style w:type="character" w:customStyle="1" w:styleId="etal">
    <w:name w:val="etal"/>
    <w:rsid w:val="006C2C98"/>
  </w:style>
  <w:style w:type="paragraph" w:customStyle="1" w:styleId="Default">
    <w:name w:val="Default"/>
    <w:rsid w:val="006C2C98"/>
    <w:pPr>
      <w:autoSpaceDE w:val="0"/>
      <w:autoSpaceDN w:val="0"/>
      <w:bidi w:val="0"/>
      <w:adjustRightInd w:val="0"/>
      <w:spacing w:after="0" w:line="240" w:lineRule="auto"/>
      <w:ind w:firstLine="567"/>
      <w:jc w:val="both"/>
    </w:pPr>
    <w:rPr>
      <w:rFonts w:ascii="Times New Roman" w:hAnsi="Times New Roman" w:cs="Times New Roman"/>
      <w:color w:val="000000"/>
      <w:sz w:val="24"/>
      <w:szCs w:val="24"/>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0"/>
    <w:rsid w:val="006C2C98"/>
    <w:rPr>
      <w:sz w:val="16"/>
      <w:szCs w:val="16"/>
      <w:shd w:val="clear" w:color="auto" w:fill="FFFFFF"/>
    </w:rPr>
  </w:style>
  <w:style w:type="paragraph" w:customStyle="1" w:styleId="MSGENFONTSTYLENAMETEMPLATEROLENUMBERMSGENFONTSTYLENAMEBYROLETEXT60">
    <w:name w:val="MSG_EN_FONT_STYLE_NAME_TEMPLATE_ROLE_NUMBER MSG_EN_FONT_STYLE_NAME_BY_ROLE_TEXT 6"/>
    <w:basedOn w:val="a0"/>
    <w:link w:val="MSGENFONTSTYLENAMETEMPLATEROLENUMBERMSGENFONTSTYLENAMEBYROLETEXT6"/>
    <w:rsid w:val="006C2C98"/>
    <w:pPr>
      <w:widowControl w:val="0"/>
      <w:shd w:val="clear" w:color="auto" w:fill="FFFFFF"/>
      <w:bidi w:val="0"/>
      <w:spacing w:after="0" w:line="197" w:lineRule="exact"/>
      <w:ind w:hanging="240"/>
    </w:pPr>
    <w:rPr>
      <w:sz w:val="16"/>
      <w:szCs w:val="16"/>
    </w:rPr>
  </w:style>
  <w:style w:type="character" w:customStyle="1" w:styleId="MSGENFONTSTYLENAMETEMPLATEROLENUMBERMSGENFONTSTYLENAMEBYROLETEXT94">
    <w:name w:val="MSG_EN_FONT_STYLE_NAME_TEMPLATE_ROLE_NUMBER MSG_EN_FONT_STYLE_NAME_BY_ROLE_TEXT 94_"/>
    <w:link w:val="MSGENFONTSTYLENAMETEMPLATEROLENUMBERMSGENFONTSTYLENAMEBYROLETEXT940"/>
    <w:rsid w:val="006C2C98"/>
    <w:rPr>
      <w:sz w:val="16"/>
      <w:szCs w:val="16"/>
      <w:shd w:val="clear" w:color="auto" w:fill="FFFFFF"/>
    </w:rPr>
  </w:style>
  <w:style w:type="paragraph" w:customStyle="1" w:styleId="MSGENFONTSTYLENAMETEMPLATEROLENUMBERMSGENFONTSTYLENAMEBYROLETEXT940">
    <w:name w:val="MSG_EN_FONT_STYLE_NAME_TEMPLATE_ROLE_NUMBER MSG_EN_FONT_STYLE_NAME_BY_ROLE_TEXT 94"/>
    <w:basedOn w:val="a0"/>
    <w:link w:val="MSGENFONTSTYLENAMETEMPLATEROLENUMBERMSGENFONTSTYLENAMEBYROLETEXT94"/>
    <w:rsid w:val="006C2C98"/>
    <w:pPr>
      <w:widowControl w:val="0"/>
      <w:shd w:val="clear" w:color="auto" w:fill="FFFFFF"/>
      <w:bidi w:val="0"/>
      <w:spacing w:before="300" w:after="0" w:line="197" w:lineRule="exact"/>
      <w:ind w:hanging="240"/>
    </w:pPr>
    <w:rPr>
      <w:sz w:val="16"/>
      <w:szCs w:val="16"/>
    </w:rPr>
  </w:style>
  <w:style w:type="character" w:customStyle="1" w:styleId="MSGENFONTSTYLENAMETEMPLATEROLEMSGENFONTSTYLENAMEBYROLERUNNINGTITLEMSGENFONTSTYLEMODIFERSIZE75">
    <w:name w:val="MSG_EN_FONT_STYLE_NAME_TEMPLATE_ROLE MSG_EN_FONT_STYLE_NAME_BY_ROLE_RUNNING_TITLE + MSG_EN_FONT_STYLE_MODIFER_SIZE 7.5"/>
    <w:rsid w:val="006C2C98"/>
    <w:rPr>
      <w:rFonts w:ascii="Times New Roman" w:eastAsia="Times New Roman" w:hAnsi="Times New Roman" w:cs="Times New Roman"/>
      <w:color w:val="000000"/>
      <w:spacing w:val="0"/>
      <w:w w:val="100"/>
      <w:position w:val="0"/>
      <w:sz w:val="15"/>
      <w:szCs w:val="15"/>
      <w:shd w:val="clear" w:color="auto" w:fill="FFFFFF"/>
      <w:lang w:val="en-US"/>
    </w:rPr>
  </w:style>
  <w:style w:type="paragraph" w:customStyle="1" w:styleId="bodytext">
    <w:name w:val="bodytext"/>
    <w:basedOn w:val="aa"/>
    <w:rsid w:val="006C2C98"/>
    <w:pPr>
      <w:spacing w:after="240" w:line="360" w:lineRule="auto"/>
      <w:ind w:firstLine="567"/>
      <w:jc w:val="lowKashida"/>
    </w:pPr>
    <w:rPr>
      <w:rFonts w:ascii="Times New Roman" w:hAnsi="Times New Roman" w:cs="Times New Roman"/>
      <w:noProof/>
      <w:sz w:val="30"/>
      <w:szCs w:val="28"/>
      <w:lang w:eastAsia="ar-SA" w:bidi="ar-EG"/>
    </w:rPr>
  </w:style>
  <w:style w:type="paragraph" w:customStyle="1" w:styleId="ParaAttribute20">
    <w:name w:val="ParaAttribute20"/>
    <w:uiPriority w:val="99"/>
    <w:rsid w:val="006C2C98"/>
    <w:pPr>
      <w:wordWrap w:val="0"/>
      <w:bidi w:val="0"/>
      <w:spacing w:after="0" w:line="240" w:lineRule="auto"/>
      <w:ind w:left="360" w:firstLine="360"/>
    </w:pPr>
    <w:rPr>
      <w:rFonts w:ascii="Times New Roman" w:eastAsia="Batang" w:hAnsi="Times New Roman" w:cs="Times New Roman"/>
      <w:sz w:val="20"/>
      <w:szCs w:val="20"/>
      <w:lang w:eastAsia="ja-JP"/>
    </w:rPr>
  </w:style>
  <w:style w:type="paragraph" w:customStyle="1" w:styleId="ParaAttribute23">
    <w:name w:val="ParaAttribute23"/>
    <w:uiPriority w:val="99"/>
    <w:rsid w:val="006C2C98"/>
    <w:pPr>
      <w:wordWrap w:val="0"/>
      <w:bidi w:val="0"/>
      <w:spacing w:after="0" w:line="240" w:lineRule="auto"/>
      <w:ind w:left="284"/>
    </w:pPr>
    <w:rPr>
      <w:rFonts w:ascii="Times New Roman" w:eastAsia="Batang" w:hAnsi="Times New Roman" w:cs="Times New Roman"/>
      <w:sz w:val="20"/>
      <w:szCs w:val="20"/>
      <w:lang w:eastAsia="ja-JP"/>
    </w:rPr>
  </w:style>
  <w:style w:type="paragraph" w:customStyle="1" w:styleId="ParaAttribute24">
    <w:name w:val="ParaAttribute24"/>
    <w:uiPriority w:val="99"/>
    <w:rsid w:val="006C2C98"/>
    <w:pPr>
      <w:widowControl w:val="0"/>
      <w:wordWrap w:val="0"/>
      <w:bidi w:val="0"/>
      <w:spacing w:after="0" w:line="240" w:lineRule="auto"/>
      <w:ind w:left="284"/>
    </w:pPr>
    <w:rPr>
      <w:rFonts w:ascii="Times New Roman" w:eastAsia="Batang" w:hAnsi="Times New Roman" w:cs="Times New Roman"/>
      <w:sz w:val="20"/>
      <w:szCs w:val="20"/>
      <w:lang w:eastAsia="ja-JP"/>
    </w:rPr>
  </w:style>
  <w:style w:type="character" w:customStyle="1" w:styleId="CharAttribute37">
    <w:name w:val="CharAttribute37"/>
    <w:rsid w:val="006C2C98"/>
    <w:rPr>
      <w:rFonts w:ascii="Calibri" w:eastAsia="Batang"/>
      <w:sz w:val="24"/>
    </w:rPr>
  </w:style>
  <w:style w:type="character" w:customStyle="1" w:styleId="CharAttribute44">
    <w:name w:val="CharAttribute44"/>
    <w:uiPriority w:val="99"/>
    <w:rsid w:val="006C2C98"/>
    <w:rPr>
      <w:rFonts w:ascii="Calibri" w:eastAsia="Times New Roman"/>
      <w:b/>
      <w:sz w:val="24"/>
      <w:u w:val="single"/>
    </w:rPr>
  </w:style>
  <w:style w:type="character" w:customStyle="1" w:styleId="CharAttribute51">
    <w:name w:val="CharAttribute51"/>
    <w:uiPriority w:val="99"/>
    <w:rsid w:val="006C2C98"/>
    <w:rPr>
      <w:rFonts w:ascii="Calibri" w:eastAsia="Times New Roman"/>
      <w:b/>
      <w:i/>
      <w:sz w:val="24"/>
    </w:rPr>
  </w:style>
  <w:style w:type="character" w:customStyle="1" w:styleId="CharAttribute35">
    <w:name w:val="CharAttribute35"/>
    <w:uiPriority w:val="99"/>
    <w:rsid w:val="006C2C98"/>
    <w:rPr>
      <w:rFonts w:ascii="Calibri" w:eastAsia="Batang"/>
      <w:b/>
      <w:sz w:val="28"/>
    </w:rPr>
  </w:style>
  <w:style w:type="numbering" w:customStyle="1" w:styleId="NoList1">
    <w:name w:val="No List1"/>
    <w:next w:val="a3"/>
    <w:uiPriority w:val="99"/>
    <w:semiHidden/>
    <w:unhideWhenUsed/>
    <w:rsid w:val="006C2C98"/>
  </w:style>
  <w:style w:type="character" w:styleId="aff9">
    <w:name w:val="FollowedHyperlink"/>
    <w:uiPriority w:val="99"/>
    <w:semiHidden/>
    <w:unhideWhenUsed/>
    <w:rsid w:val="006C2C98"/>
    <w:rPr>
      <w:color w:val="800080"/>
      <w:u w:val="single"/>
    </w:rPr>
  </w:style>
  <w:style w:type="character" w:customStyle="1" w:styleId="m4203926733043372232gmail-eop">
    <w:name w:val="m_4203926733043372232gmail-eop"/>
    <w:rsid w:val="006C2C98"/>
  </w:style>
  <w:style w:type="character" w:customStyle="1" w:styleId="ref-journal">
    <w:name w:val="ref-journal"/>
    <w:rsid w:val="006C2C98"/>
  </w:style>
  <w:style w:type="character" w:customStyle="1" w:styleId="ref-vol">
    <w:name w:val="ref-vol"/>
    <w:rsid w:val="006C2C98"/>
  </w:style>
  <w:style w:type="paragraph" w:customStyle="1" w:styleId="b1Char">
    <w:name w:val="b1 Char"/>
    <w:basedOn w:val="a0"/>
    <w:link w:val="b1CharChar"/>
    <w:rsid w:val="00757657"/>
    <w:pPr>
      <w:bidi w:val="0"/>
      <w:spacing w:after="240" w:line="360" w:lineRule="auto"/>
      <w:ind w:firstLine="567"/>
      <w:jc w:val="lowKashida"/>
    </w:pPr>
    <w:rPr>
      <w:rFonts w:ascii="Times New Roman" w:eastAsia="Times New Roman" w:hAnsi="Times New Roman" w:cs="Times New Roman"/>
      <w:sz w:val="30"/>
      <w:szCs w:val="28"/>
      <w:lang w:eastAsia="ar-SA" w:bidi="ar-EG"/>
    </w:rPr>
  </w:style>
  <w:style w:type="character" w:customStyle="1" w:styleId="b1CharChar">
    <w:name w:val="b1 Char Char"/>
    <w:link w:val="b1Char"/>
    <w:rsid w:val="00757657"/>
    <w:rPr>
      <w:rFonts w:ascii="Times New Roman" w:eastAsia="Times New Roman" w:hAnsi="Times New Roman" w:cs="Times New Roman"/>
      <w:sz w:val="30"/>
      <w:szCs w:val="28"/>
      <w:lang w:eastAsia="ar-SA" w:bidi="ar-EG"/>
    </w:rPr>
  </w:style>
  <w:style w:type="paragraph" w:customStyle="1" w:styleId="ParaAttribute8">
    <w:name w:val="ParaAttribute8"/>
    <w:uiPriority w:val="99"/>
    <w:rsid w:val="00057104"/>
    <w:pPr>
      <w:wordWrap w:val="0"/>
      <w:bidi w:val="0"/>
      <w:spacing w:before="100" w:after="100" w:line="240" w:lineRule="auto"/>
      <w:jc w:val="center"/>
    </w:pPr>
    <w:rPr>
      <w:rFonts w:ascii="Times New Roman" w:eastAsia="Batang" w:hAnsi="Times New Roman" w:cs="Times New Roman"/>
      <w:sz w:val="20"/>
      <w:szCs w:val="20"/>
      <w:lang w:eastAsia="ja-JP"/>
    </w:rPr>
  </w:style>
  <w:style w:type="table" w:customStyle="1" w:styleId="TableGrid2">
    <w:name w:val="Table Grid2"/>
    <w:basedOn w:val="a2"/>
    <w:next w:val="a5"/>
    <w:uiPriority w:val="39"/>
    <w:rsid w:val="008A388D"/>
    <w:pPr>
      <w:bidi w:val="0"/>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5"/>
    <w:uiPriority w:val="39"/>
    <w:rsid w:val="00FE51BD"/>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a2"/>
    <w:next w:val="a5"/>
    <w:uiPriority w:val="39"/>
    <w:rsid w:val="00FE51BD"/>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a2"/>
    <w:next w:val="a5"/>
    <w:uiPriority w:val="39"/>
    <w:rsid w:val="004628D0"/>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a2"/>
    <w:next w:val="a5"/>
    <w:uiPriority w:val="39"/>
    <w:rsid w:val="004628D0"/>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a2"/>
    <w:next w:val="a5"/>
    <w:uiPriority w:val="39"/>
    <w:rsid w:val="00B25EF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a2"/>
    <w:next w:val="a5"/>
    <w:uiPriority w:val="39"/>
    <w:rsid w:val="00B25EF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a2"/>
    <w:next w:val="a5"/>
    <w:uiPriority w:val="39"/>
    <w:rsid w:val="00B25EF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a2"/>
    <w:next w:val="a5"/>
    <w:uiPriority w:val="39"/>
    <w:rsid w:val="00E052FD"/>
    <w:pPr>
      <w:bidi w:val="0"/>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a2"/>
    <w:next w:val="a5"/>
    <w:uiPriority w:val="39"/>
    <w:rsid w:val="002B668F"/>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a2"/>
    <w:next w:val="a5"/>
    <w:uiPriority w:val="59"/>
    <w:rsid w:val="00856D29"/>
    <w:pPr>
      <w:bidi w:val="0"/>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3"/>
    <w:uiPriority w:val="99"/>
    <w:semiHidden/>
    <w:unhideWhenUsed/>
    <w:rsid w:val="00856D29"/>
  </w:style>
  <w:style w:type="table" w:customStyle="1" w:styleId="TableGrid13">
    <w:name w:val="Table Grid13"/>
    <w:basedOn w:val="a2"/>
    <w:next w:val="a5"/>
    <w:uiPriority w:val="39"/>
    <w:rsid w:val="00856D2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0">
    <w:name w:val="Pa0"/>
    <w:basedOn w:val="a0"/>
    <w:next w:val="a0"/>
    <w:uiPriority w:val="99"/>
    <w:rsid w:val="00856D29"/>
    <w:pPr>
      <w:autoSpaceDE w:val="0"/>
      <w:autoSpaceDN w:val="0"/>
      <w:bidi w:val="0"/>
      <w:adjustRightInd w:val="0"/>
      <w:spacing w:after="0" w:line="241" w:lineRule="atLeast"/>
    </w:pPr>
    <w:rPr>
      <w:rFonts w:ascii="Helvetica LT Std" w:eastAsia="Times New Roman" w:hAnsi="Helvetica LT Std" w:cs="Arial"/>
      <w:sz w:val="24"/>
      <w:szCs w:val="24"/>
    </w:rPr>
  </w:style>
  <w:style w:type="character" w:customStyle="1" w:styleId="A60">
    <w:name w:val="A6"/>
    <w:uiPriority w:val="99"/>
    <w:rsid w:val="00856D29"/>
    <w:rPr>
      <w:rFonts w:cs="Helvetica LT Std"/>
      <w:b/>
      <w:bCs/>
      <w:color w:val="000000"/>
      <w:sz w:val="20"/>
      <w:szCs w:val="20"/>
    </w:rPr>
  </w:style>
  <w:style w:type="character" w:styleId="affa">
    <w:name w:val="annotation reference"/>
    <w:basedOn w:val="a1"/>
    <w:uiPriority w:val="99"/>
    <w:semiHidden/>
    <w:unhideWhenUsed/>
    <w:rsid w:val="00856D29"/>
    <w:rPr>
      <w:sz w:val="16"/>
      <w:szCs w:val="16"/>
    </w:rPr>
  </w:style>
  <w:style w:type="paragraph" w:styleId="affb">
    <w:name w:val="annotation text"/>
    <w:basedOn w:val="a0"/>
    <w:link w:val="Charc"/>
    <w:uiPriority w:val="99"/>
    <w:semiHidden/>
    <w:unhideWhenUsed/>
    <w:rsid w:val="00856D29"/>
    <w:pPr>
      <w:bidi w:val="0"/>
      <w:spacing w:line="240" w:lineRule="auto"/>
    </w:pPr>
    <w:rPr>
      <w:rFonts w:eastAsia="Times New Roman" w:cs="Arial"/>
      <w:sz w:val="20"/>
      <w:szCs w:val="20"/>
    </w:rPr>
  </w:style>
  <w:style w:type="character" w:customStyle="1" w:styleId="Charc">
    <w:name w:val="نص تعليق Char"/>
    <w:basedOn w:val="a1"/>
    <w:link w:val="affb"/>
    <w:uiPriority w:val="99"/>
    <w:semiHidden/>
    <w:rsid w:val="00856D29"/>
    <w:rPr>
      <w:rFonts w:eastAsia="Times New Roman" w:cs="Arial"/>
      <w:sz w:val="20"/>
      <w:szCs w:val="20"/>
    </w:rPr>
  </w:style>
  <w:style w:type="paragraph" w:styleId="affc">
    <w:name w:val="annotation subject"/>
    <w:basedOn w:val="affb"/>
    <w:next w:val="affb"/>
    <w:link w:val="Chard"/>
    <w:uiPriority w:val="99"/>
    <w:semiHidden/>
    <w:unhideWhenUsed/>
    <w:rsid w:val="00856D29"/>
    <w:rPr>
      <w:b/>
      <w:bCs/>
    </w:rPr>
  </w:style>
  <w:style w:type="character" w:customStyle="1" w:styleId="Chard">
    <w:name w:val="موضوع تعليق Char"/>
    <w:basedOn w:val="Charc"/>
    <w:link w:val="affc"/>
    <w:uiPriority w:val="99"/>
    <w:semiHidden/>
    <w:rsid w:val="00856D29"/>
    <w:rPr>
      <w:rFonts w:eastAsia="Times New Roman" w:cs="Arial"/>
      <w:b/>
      <w:bCs/>
      <w:sz w:val="20"/>
      <w:szCs w:val="20"/>
    </w:rPr>
  </w:style>
  <w:style w:type="table" w:customStyle="1" w:styleId="TableGrid31">
    <w:name w:val="Table Grid31"/>
    <w:basedOn w:val="a2"/>
    <w:next w:val="a5"/>
    <w:uiPriority w:val="39"/>
    <w:rsid w:val="00856D2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a3"/>
    <w:uiPriority w:val="99"/>
    <w:semiHidden/>
    <w:unhideWhenUsed/>
    <w:rsid w:val="007A0667"/>
  </w:style>
  <w:style w:type="character" w:customStyle="1" w:styleId="FollowedHyperlink1">
    <w:name w:val="FollowedHyperlink1"/>
    <w:basedOn w:val="a1"/>
    <w:uiPriority w:val="99"/>
    <w:semiHidden/>
    <w:unhideWhenUsed/>
    <w:rsid w:val="007A0667"/>
    <w:rPr>
      <w:color w:val="954F72"/>
      <w:u w:val="single"/>
    </w:rPr>
  </w:style>
  <w:style w:type="table" w:customStyle="1" w:styleId="TableGrid14">
    <w:name w:val="Table Grid14"/>
    <w:basedOn w:val="a2"/>
    <w:next w:val="a5"/>
    <w:uiPriority w:val="59"/>
    <w:rsid w:val="007A0667"/>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a2"/>
    <w:next w:val="a5"/>
    <w:uiPriority w:val="39"/>
    <w:rsid w:val="007A0667"/>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3"/>
    <w:uiPriority w:val="99"/>
    <w:semiHidden/>
    <w:unhideWhenUsed/>
    <w:rsid w:val="007A0667"/>
  </w:style>
  <w:style w:type="paragraph" w:customStyle="1" w:styleId="labelcaption">
    <w:name w:val="label_caption"/>
    <w:basedOn w:val="a0"/>
    <w:rsid w:val="007A066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a1"/>
    <w:rsid w:val="007A0667"/>
  </w:style>
  <w:style w:type="table" w:customStyle="1" w:styleId="TableGrid16">
    <w:name w:val="TableGrid1"/>
    <w:rsid w:val="007A0667"/>
    <w:pPr>
      <w:bidi w:val="0"/>
      <w:spacing w:after="0" w:line="240" w:lineRule="auto"/>
    </w:pPr>
    <w:rPr>
      <w:rFonts w:eastAsia="Times New Roman" w:cs="Arial"/>
    </w:rPr>
    <w:tblPr>
      <w:tblCellMar>
        <w:top w:w="0" w:type="dxa"/>
        <w:left w:w="0" w:type="dxa"/>
        <w:bottom w:w="0" w:type="dxa"/>
        <w:right w:w="0" w:type="dxa"/>
      </w:tblCellMar>
    </w:tblPr>
  </w:style>
  <w:style w:type="paragraph" w:customStyle="1" w:styleId="Heading11">
    <w:name w:val="Heading 11"/>
    <w:basedOn w:val="a0"/>
    <w:next w:val="a0"/>
    <w:uiPriority w:val="9"/>
    <w:qFormat/>
    <w:rsid w:val="007A0667"/>
    <w:pPr>
      <w:keepNext/>
      <w:keepLines/>
      <w:bidi w:val="0"/>
      <w:spacing w:before="480" w:after="0"/>
      <w:outlineLvl w:val="0"/>
    </w:pPr>
    <w:rPr>
      <w:rFonts w:ascii="Cambria" w:eastAsia="Times New Roman" w:hAnsi="Cambria" w:cs="Times New Roman"/>
      <w:b/>
      <w:bCs/>
      <w:color w:val="365F91"/>
      <w:sz w:val="28"/>
      <w:szCs w:val="28"/>
    </w:rPr>
  </w:style>
  <w:style w:type="paragraph" w:customStyle="1" w:styleId="Heading31">
    <w:name w:val="Heading 31"/>
    <w:basedOn w:val="a0"/>
    <w:next w:val="a0"/>
    <w:uiPriority w:val="9"/>
    <w:semiHidden/>
    <w:unhideWhenUsed/>
    <w:qFormat/>
    <w:rsid w:val="007A0667"/>
    <w:pPr>
      <w:keepNext/>
      <w:keepLines/>
      <w:bidi w:val="0"/>
      <w:spacing w:before="200" w:after="0"/>
      <w:outlineLvl w:val="2"/>
    </w:pPr>
    <w:rPr>
      <w:rFonts w:ascii="Cambria" w:eastAsia="Times New Roman" w:hAnsi="Cambria" w:cs="Times New Roman"/>
      <w:b/>
      <w:bCs/>
      <w:color w:val="4F81BD"/>
    </w:rPr>
  </w:style>
  <w:style w:type="numbering" w:customStyle="1" w:styleId="NoList21">
    <w:name w:val="No List21"/>
    <w:next w:val="a3"/>
    <w:uiPriority w:val="99"/>
    <w:semiHidden/>
    <w:unhideWhenUsed/>
    <w:rsid w:val="007A0667"/>
  </w:style>
  <w:style w:type="table" w:customStyle="1" w:styleId="TableGrid32">
    <w:name w:val="Table Grid32"/>
    <w:basedOn w:val="a2"/>
    <w:next w:val="a5"/>
    <w:uiPriority w:val="59"/>
    <w:rsid w:val="007A0667"/>
    <w:pPr>
      <w:bidi w:val="0"/>
      <w:spacing w:after="0" w:line="240" w:lineRule="auto"/>
    </w:pPr>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mage">
    <w:name w:val="image"/>
    <w:basedOn w:val="a0"/>
    <w:uiPriority w:val="99"/>
    <w:semiHidden/>
    <w:rsid w:val="007A0667"/>
    <w:pPr>
      <w:bidi w:val="0"/>
      <w:spacing w:before="270" w:after="180" w:line="240" w:lineRule="auto"/>
      <w:ind w:left="420"/>
      <w:jc w:val="both"/>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7A0667"/>
    <w:pPr>
      <w:widowControl w:val="0"/>
      <w:bidi w:val="0"/>
      <w:spacing w:after="0" w:line="240" w:lineRule="auto"/>
      <w:jc w:val="center"/>
    </w:pPr>
    <w:rPr>
      <w:rFonts w:ascii="Arial" w:eastAsia="Arial" w:hAnsi="Arial" w:cs="Arial"/>
    </w:rPr>
  </w:style>
  <w:style w:type="character" w:customStyle="1" w:styleId="current-selection">
    <w:name w:val="current-selection"/>
    <w:basedOn w:val="a1"/>
    <w:rsid w:val="007A0667"/>
  </w:style>
  <w:style w:type="character" w:customStyle="1" w:styleId="ff3">
    <w:name w:val="ff3"/>
    <w:basedOn w:val="a1"/>
    <w:rsid w:val="007A0667"/>
  </w:style>
  <w:style w:type="character" w:customStyle="1" w:styleId="pubyear">
    <w:name w:val="pubyear"/>
    <w:basedOn w:val="a1"/>
    <w:rsid w:val="007A0667"/>
  </w:style>
  <w:style w:type="character" w:customStyle="1" w:styleId="articletitle">
    <w:name w:val="articletitle"/>
    <w:basedOn w:val="a1"/>
    <w:rsid w:val="007A0667"/>
  </w:style>
  <w:style w:type="character" w:customStyle="1" w:styleId="vol">
    <w:name w:val="vol"/>
    <w:basedOn w:val="a1"/>
    <w:rsid w:val="007A0667"/>
  </w:style>
  <w:style w:type="paragraph" w:customStyle="1" w:styleId="wp-caption-text">
    <w:name w:val="wp-caption-text"/>
    <w:basedOn w:val="a0"/>
    <w:rsid w:val="007A066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basedOn w:val="a1"/>
    <w:uiPriority w:val="9"/>
    <w:rsid w:val="007A0667"/>
    <w:rPr>
      <w:rFonts w:ascii="Calibri Light" w:eastAsia="Times New Roman" w:hAnsi="Calibri Light" w:cs="Times New Roman"/>
      <w:color w:val="2E74B5"/>
      <w:sz w:val="32"/>
      <w:szCs w:val="32"/>
    </w:rPr>
  </w:style>
  <w:style w:type="character" w:customStyle="1" w:styleId="Heading3Char1">
    <w:name w:val="Heading 3 Char1"/>
    <w:basedOn w:val="a1"/>
    <w:uiPriority w:val="9"/>
    <w:semiHidden/>
    <w:rsid w:val="007A0667"/>
    <w:rPr>
      <w:rFonts w:ascii="Calibri Light" w:eastAsia="Times New Roman" w:hAnsi="Calibri Light" w:cs="Times New Roman"/>
      <w:color w:val="1F4D78"/>
      <w:sz w:val="24"/>
      <w:szCs w:val="24"/>
    </w:rPr>
  </w:style>
  <w:style w:type="table" w:customStyle="1" w:styleId="TableGrid41">
    <w:name w:val="Table Grid41"/>
    <w:basedOn w:val="a2"/>
    <w:next w:val="a5"/>
    <w:uiPriority w:val="39"/>
    <w:rsid w:val="007A0667"/>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a3"/>
    <w:uiPriority w:val="99"/>
    <w:semiHidden/>
    <w:unhideWhenUsed/>
    <w:rsid w:val="007A0667"/>
  </w:style>
  <w:style w:type="table" w:customStyle="1" w:styleId="TableGrid51">
    <w:name w:val="Table Grid51"/>
    <w:basedOn w:val="a2"/>
    <w:next w:val="a5"/>
    <w:uiPriority w:val="59"/>
    <w:rsid w:val="007A0667"/>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rsid w:val="007A0667"/>
  </w:style>
  <w:style w:type="paragraph" w:customStyle="1" w:styleId="asd">
    <w:name w:val="asd"/>
    <w:basedOn w:val="a0"/>
    <w:next w:val="3"/>
    <w:link w:val="asdChar"/>
    <w:qFormat/>
    <w:rsid w:val="007A0667"/>
    <w:pPr>
      <w:pageBreakBefore/>
      <w:pBdr>
        <w:top w:val="thinThickLargeGap" w:sz="18" w:space="1" w:color="auto"/>
        <w:bottom w:val="single" w:sz="18" w:space="1" w:color="auto"/>
      </w:pBdr>
      <w:tabs>
        <w:tab w:val="center" w:pos="4680"/>
        <w:tab w:val="right" w:pos="9360"/>
      </w:tabs>
      <w:bidi w:val="0"/>
      <w:spacing w:after="0" w:line="240" w:lineRule="auto"/>
    </w:pPr>
    <w:rPr>
      <w:rFonts w:ascii="Dictum" w:hAnsi="Dictum" w:cs="Arial"/>
      <w:sz w:val="26"/>
      <w:szCs w:val="26"/>
    </w:rPr>
  </w:style>
  <w:style w:type="character" w:customStyle="1" w:styleId="asdChar">
    <w:name w:val="asd Char"/>
    <w:basedOn w:val="a1"/>
    <w:link w:val="asd"/>
    <w:rsid w:val="007A0667"/>
    <w:rPr>
      <w:rFonts w:ascii="Dictum" w:hAnsi="Dictum" w:cs="Arial"/>
      <w:sz w:val="26"/>
      <w:szCs w:val="26"/>
    </w:rPr>
  </w:style>
  <w:style w:type="table" w:customStyle="1" w:styleId="TableGrid42">
    <w:name w:val="Table Grid42"/>
    <w:basedOn w:val="a2"/>
    <w:next w:val="a5"/>
    <w:uiPriority w:val="39"/>
    <w:rsid w:val="007A0667"/>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2"/>
    <w:next w:val="a5"/>
    <w:uiPriority w:val="39"/>
    <w:rsid w:val="007A0667"/>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a2"/>
    <w:next w:val="PlainTable12"/>
    <w:uiPriority w:val="41"/>
    <w:rsid w:val="007A0667"/>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a2"/>
    <w:uiPriority w:val="41"/>
    <w:rsid w:val="007A0667"/>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1">
    <w:name w:val="Table Grid61"/>
    <w:basedOn w:val="a2"/>
    <w:next w:val="a5"/>
    <w:uiPriority w:val="59"/>
    <w:rsid w:val="007A0667"/>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a3"/>
    <w:uiPriority w:val="99"/>
    <w:semiHidden/>
    <w:unhideWhenUsed/>
    <w:rsid w:val="004D2069"/>
  </w:style>
  <w:style w:type="numbering" w:customStyle="1" w:styleId="NoList5">
    <w:name w:val="No List5"/>
    <w:next w:val="a3"/>
    <w:uiPriority w:val="99"/>
    <w:semiHidden/>
    <w:unhideWhenUsed/>
    <w:rsid w:val="00FE7474"/>
  </w:style>
  <w:style w:type="character" w:customStyle="1" w:styleId="fontstyle01">
    <w:name w:val="fontstyle01"/>
    <w:basedOn w:val="a1"/>
    <w:rsid w:val="00341A7E"/>
    <w:rPr>
      <w:rFonts w:ascii="TimesNewRomanPSMT" w:hAnsi="TimesNewRomanPSMT" w:hint="default"/>
      <w:b w:val="0"/>
      <w:bCs w:val="0"/>
      <w:i w:val="0"/>
      <w:iCs w:val="0"/>
      <w:color w:val="000000"/>
      <w:sz w:val="24"/>
      <w:szCs w:val="24"/>
    </w:rPr>
  </w:style>
  <w:style w:type="numbering" w:customStyle="1" w:styleId="NoList6">
    <w:name w:val="No List6"/>
    <w:next w:val="a3"/>
    <w:uiPriority w:val="99"/>
    <w:semiHidden/>
    <w:unhideWhenUsed/>
    <w:rsid w:val="004310B3"/>
  </w:style>
  <w:style w:type="character" w:customStyle="1" w:styleId="ff5">
    <w:name w:val="ff5"/>
    <w:basedOn w:val="a1"/>
    <w:rsid w:val="004310B3"/>
  </w:style>
  <w:style w:type="table" w:customStyle="1" w:styleId="TableGrid160">
    <w:name w:val="Table Grid16"/>
    <w:basedOn w:val="a2"/>
    <w:next w:val="a5"/>
    <w:uiPriority w:val="59"/>
    <w:rsid w:val="004310B3"/>
    <w:pPr>
      <w:bidi w:val="0"/>
      <w:spacing w:after="0" w:line="240" w:lineRule="auto"/>
    </w:pPr>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12">
    <w:name w:val="Grid Table 4 - Accent 12"/>
    <w:basedOn w:val="a2"/>
    <w:next w:val="GridTable4-Accent13"/>
    <w:uiPriority w:val="49"/>
    <w:rsid w:val="004310B3"/>
    <w:pPr>
      <w:bidi w:val="0"/>
      <w:spacing w:after="0" w:line="240" w:lineRule="auto"/>
    </w:pPr>
    <w:rPr>
      <w:rFonts w:cs="Ari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2"/>
    <w:next w:val="GridTable6Colorful-Accent52"/>
    <w:uiPriority w:val="51"/>
    <w:rsid w:val="004310B3"/>
    <w:pPr>
      <w:bidi w:val="0"/>
      <w:spacing w:after="0" w:line="240" w:lineRule="auto"/>
    </w:pPr>
    <w:rPr>
      <w:rFonts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ntstyle21">
    <w:name w:val="fontstyle21"/>
    <w:basedOn w:val="a1"/>
    <w:rsid w:val="004310B3"/>
    <w:rPr>
      <w:rFonts w:ascii="Helvetica-Bold" w:hAnsi="Helvetica-Bold" w:hint="default"/>
      <w:b/>
      <w:bCs/>
      <w:i w:val="0"/>
      <w:iCs w:val="0"/>
      <w:color w:val="FFFFFF"/>
      <w:sz w:val="40"/>
      <w:szCs w:val="40"/>
    </w:rPr>
  </w:style>
  <w:style w:type="character" w:customStyle="1" w:styleId="fontstyle31">
    <w:name w:val="fontstyle31"/>
    <w:basedOn w:val="a1"/>
    <w:rsid w:val="004310B3"/>
    <w:rPr>
      <w:rFonts w:ascii="Helvetica" w:hAnsi="Helvetica" w:cs="Helvetica" w:hint="default"/>
      <w:b w:val="0"/>
      <w:bCs w:val="0"/>
      <w:i w:val="0"/>
      <w:iCs w:val="0"/>
      <w:color w:val="D8D8D8"/>
      <w:sz w:val="80"/>
      <w:szCs w:val="80"/>
    </w:rPr>
  </w:style>
  <w:style w:type="character" w:customStyle="1" w:styleId="author">
    <w:name w:val="author"/>
    <w:basedOn w:val="a1"/>
    <w:rsid w:val="004310B3"/>
  </w:style>
  <w:style w:type="character" w:customStyle="1" w:styleId="pagefirst">
    <w:name w:val="pagefirst"/>
    <w:basedOn w:val="a1"/>
    <w:rsid w:val="004310B3"/>
  </w:style>
  <w:style w:type="character" w:customStyle="1" w:styleId="pagelast">
    <w:name w:val="pagelast"/>
    <w:basedOn w:val="a1"/>
    <w:rsid w:val="004310B3"/>
  </w:style>
  <w:style w:type="character" w:customStyle="1" w:styleId="UnresolvedMention1">
    <w:name w:val="Unresolved Mention1"/>
    <w:basedOn w:val="a1"/>
    <w:uiPriority w:val="99"/>
    <w:semiHidden/>
    <w:unhideWhenUsed/>
    <w:rsid w:val="004310B3"/>
    <w:rPr>
      <w:color w:val="605E5C"/>
      <w:shd w:val="clear" w:color="auto" w:fill="E1DFDD"/>
    </w:rPr>
  </w:style>
  <w:style w:type="table" w:customStyle="1" w:styleId="PlainTable13">
    <w:name w:val="Plain Table 13"/>
    <w:basedOn w:val="a2"/>
    <w:next w:val="PlainTable14"/>
    <w:uiPriority w:val="41"/>
    <w:rsid w:val="004310B3"/>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n-for-citation-subtitle">
    <w:name w:val="colon-for-citation-subtitle"/>
    <w:basedOn w:val="a1"/>
    <w:rsid w:val="004310B3"/>
  </w:style>
  <w:style w:type="table" w:customStyle="1" w:styleId="GridTable4-Accent13">
    <w:name w:val="Grid Table 4 - Accent 13"/>
    <w:basedOn w:val="a2"/>
    <w:uiPriority w:val="49"/>
    <w:rsid w:val="004310B3"/>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52">
    <w:name w:val="Grid Table 6 Colorful - Accent 52"/>
    <w:basedOn w:val="a2"/>
    <w:uiPriority w:val="51"/>
    <w:rsid w:val="004310B3"/>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4">
    <w:name w:val="Plain Table 14"/>
    <w:basedOn w:val="a2"/>
    <w:uiPriority w:val="41"/>
    <w:rsid w:val="004310B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
    <w:name w:val="b"/>
    <w:basedOn w:val="a0"/>
    <w:rsid w:val="00DE5545"/>
    <w:pPr>
      <w:bidi w:val="0"/>
      <w:spacing w:after="240" w:line="360" w:lineRule="auto"/>
      <w:ind w:firstLine="624"/>
      <w:jc w:val="both"/>
    </w:pPr>
    <w:rPr>
      <w:rFonts w:ascii="Times New Roman" w:hAnsi="Times New Roman" w:cs="Times New Roman"/>
      <w:sz w:val="28"/>
      <w:szCs w:val="28"/>
    </w:rPr>
  </w:style>
  <w:style w:type="table" w:customStyle="1" w:styleId="TableGrid17">
    <w:name w:val="Table Grid17"/>
    <w:basedOn w:val="a2"/>
    <w:next w:val="a5"/>
    <w:uiPriority w:val="59"/>
    <w:rsid w:val="00E11594"/>
    <w:pPr>
      <w:bidi w:val="0"/>
      <w:spacing w:after="0" w:line="240" w:lineRule="auto"/>
    </w:pPr>
    <w:rPr>
      <w:rFonts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a2"/>
    <w:next w:val="1-1"/>
    <w:uiPriority w:val="63"/>
    <w:rsid w:val="00E11594"/>
    <w:pPr>
      <w:bidi w:val="0"/>
      <w:spacing w:after="0" w:line="240" w:lineRule="auto"/>
    </w:pPr>
    <w:rPr>
      <w:rFonts w:eastAsia="Times New Roman" w:cs="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1">
    <w:name w:val="Medium Shading 1 Accent 1"/>
    <w:basedOn w:val="a2"/>
    <w:uiPriority w:val="63"/>
    <w:semiHidden/>
    <w:unhideWhenUsed/>
    <w:rsid w:val="00E1159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Char6">
    <w:name w:val="بلا تباعد Char"/>
    <w:link w:val="afa"/>
    <w:uiPriority w:val="1"/>
    <w:rsid w:val="00DB2152"/>
    <w:rPr>
      <w:rFonts w:cs="Arial"/>
    </w:rPr>
  </w:style>
  <w:style w:type="character" w:customStyle="1" w:styleId="Char3">
    <w:name w:val=" سرد الفقرات Char"/>
    <w:basedOn w:val="a1"/>
    <w:link w:val="a9"/>
    <w:uiPriority w:val="34"/>
    <w:locked/>
    <w:rsid w:val="000358CE"/>
  </w:style>
  <w:style w:type="numbering" w:customStyle="1" w:styleId="NoList7">
    <w:name w:val="No List7"/>
    <w:next w:val="a3"/>
    <w:uiPriority w:val="99"/>
    <w:semiHidden/>
    <w:unhideWhenUsed/>
    <w:rsid w:val="00E02480"/>
  </w:style>
  <w:style w:type="table" w:styleId="21">
    <w:name w:val="Table Colorful 2"/>
    <w:basedOn w:val="a2"/>
    <w:rsid w:val="00E02480"/>
    <w:pPr>
      <w:bidi w:val="0"/>
    </w:pPr>
    <w:rPr>
      <w:rFonts w:cs="Arial"/>
      <w:bCs/>
      <w:sz w:val="20"/>
      <w:szCs w:val="32"/>
    </w:rPr>
    <w:tblPr>
      <w:tblInd w:w="0" w:type="dxa"/>
      <w:tblBorders>
        <w:bottom w:val="single" w:sz="12" w:space="0" w:color="000000"/>
      </w:tblBorders>
      <w:tblCellMar>
        <w:top w:w="0" w:type="dxa"/>
        <w:left w:w="108" w:type="dxa"/>
        <w:bottom w:w="0" w:type="dxa"/>
        <w:right w:w="108" w:type="dxa"/>
      </w:tblCellMar>
    </w:tblPr>
    <w:tcPr>
      <w:shd w:val="pct20" w:color="99CCFF"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18">
    <w:name w:val="Table Grid18"/>
    <w:basedOn w:val="a2"/>
    <w:next w:val="a5"/>
    <w:uiPriority w:val="59"/>
    <w:rsid w:val="00E02480"/>
    <w:pPr>
      <w:bidi w:val="0"/>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3"/>
    <w:uiPriority w:val="99"/>
    <w:semiHidden/>
    <w:unhideWhenUsed/>
    <w:rsid w:val="00E02480"/>
  </w:style>
  <w:style w:type="numbering" w:customStyle="1" w:styleId="NoList111">
    <w:name w:val="No List111"/>
    <w:next w:val="a3"/>
    <w:uiPriority w:val="99"/>
    <w:semiHidden/>
    <w:unhideWhenUsed/>
    <w:rsid w:val="00E02480"/>
  </w:style>
  <w:style w:type="table" w:styleId="affd">
    <w:name w:val="Light List"/>
    <w:basedOn w:val="a2"/>
    <w:uiPriority w:val="61"/>
    <w:rsid w:val="00E02480"/>
    <w:pPr>
      <w:bidi w:val="0"/>
      <w:spacing w:after="0" w:line="240" w:lineRule="auto"/>
    </w:pPr>
    <w:rPr>
      <w:rFonts w:asciiTheme="minorHAnsi" w:eastAsiaTheme="minorEastAsia" w:hAnsiTheme="minorHAnsi" w:cstheme="minorBidi"/>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22">
    <w:name w:val="No List22"/>
    <w:next w:val="a3"/>
    <w:uiPriority w:val="99"/>
    <w:semiHidden/>
    <w:unhideWhenUsed/>
    <w:rsid w:val="00E02480"/>
  </w:style>
  <w:style w:type="numbering" w:customStyle="1" w:styleId="NoList8">
    <w:name w:val="No List8"/>
    <w:next w:val="a3"/>
    <w:uiPriority w:val="99"/>
    <w:semiHidden/>
    <w:unhideWhenUsed/>
    <w:rsid w:val="00F43530"/>
  </w:style>
  <w:style w:type="table" w:customStyle="1" w:styleId="TableGrid19">
    <w:name w:val="Table Grid19"/>
    <w:basedOn w:val="a2"/>
    <w:next w:val="a5"/>
    <w:uiPriority w:val="59"/>
    <w:rsid w:val="00F43530"/>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3"/>
    <w:uiPriority w:val="99"/>
    <w:semiHidden/>
    <w:unhideWhenUsed/>
    <w:rsid w:val="00F43530"/>
  </w:style>
  <w:style w:type="numbering" w:customStyle="1" w:styleId="NoList23">
    <w:name w:val="No List23"/>
    <w:next w:val="a3"/>
    <w:uiPriority w:val="99"/>
    <w:semiHidden/>
    <w:unhideWhenUsed/>
    <w:rsid w:val="00F43530"/>
  </w:style>
  <w:style w:type="character" w:customStyle="1" w:styleId="mixed-citation">
    <w:name w:val="mixed-citation"/>
    <w:basedOn w:val="a1"/>
    <w:rsid w:val="00C23F1C"/>
  </w:style>
  <w:style w:type="character" w:customStyle="1" w:styleId="ref-title">
    <w:name w:val="ref-title"/>
    <w:basedOn w:val="a1"/>
    <w:rsid w:val="00C23F1C"/>
  </w:style>
  <w:style w:type="table" w:customStyle="1" w:styleId="TableGrid20">
    <w:name w:val="Table Grid20"/>
    <w:basedOn w:val="a2"/>
    <w:next w:val="a5"/>
    <w:uiPriority w:val="59"/>
    <w:rsid w:val="00A53D6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2"/>
    <w:next w:val="a5"/>
    <w:uiPriority w:val="59"/>
    <w:rsid w:val="00A53D69"/>
    <w:pPr>
      <w:bidi w:val="0"/>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2"/>
    <w:next w:val="a5"/>
    <w:uiPriority w:val="59"/>
    <w:rsid w:val="00A53D69"/>
    <w:pPr>
      <w:bidi w:val="0"/>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2"/>
    <w:next w:val="a5"/>
    <w:uiPriority w:val="59"/>
    <w:rsid w:val="009A229C"/>
    <w:pPr>
      <w:bidi w:val="0"/>
      <w:spacing w:after="0" w:line="240" w:lineRule="auto"/>
    </w:pPr>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a2"/>
    <w:next w:val="a5"/>
    <w:uiPriority w:val="59"/>
    <w:rsid w:val="009A229C"/>
    <w:pPr>
      <w:bidi w:val="0"/>
      <w:spacing w:after="0" w:line="240" w:lineRule="auto"/>
    </w:pPr>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ticle-referencestext">
    <w:name w:val="c-article-references__text"/>
    <w:basedOn w:val="a0"/>
    <w:rsid w:val="00420CD4"/>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6Colorful-Accent41">
    <w:name w:val="Grid Table 6 Colorful - Accent 41"/>
    <w:basedOn w:val="a2"/>
    <w:uiPriority w:val="51"/>
    <w:rsid w:val="008B3D00"/>
    <w:pPr>
      <w:bidi w:val="0"/>
      <w:spacing w:after="0" w:line="240" w:lineRule="auto"/>
    </w:pPr>
    <w:rPr>
      <w:rFonts w:eastAsia="Times New Roman" w:cs="Arial"/>
      <w:color w:val="5F497A" w:themeColor="accent4" w:themeShade="BF"/>
      <w:sz w:val="20"/>
      <w:szCs w:val="20"/>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Normal1">
    <w:name w:val="Table Normal1"/>
    <w:uiPriority w:val="2"/>
    <w:semiHidden/>
    <w:qFormat/>
    <w:rsid w:val="004505F1"/>
    <w:pPr>
      <w:widowControl w:val="0"/>
      <w:bidi w:val="0"/>
      <w:spacing w:after="0" w:line="240" w:lineRule="auto"/>
    </w:pPr>
    <w:rPr>
      <w:rFonts w:asciiTheme="minorHAnsi" w:eastAsiaTheme="minorHAnsi" w:hAnsiTheme="minorHAnsi" w:cstheme="minorBidi"/>
    </w:rPr>
    <w:tblPr>
      <w:tblCellMar>
        <w:top w:w="0" w:type="dxa"/>
        <w:left w:w="0" w:type="dxa"/>
        <w:bottom w:w="0" w:type="dxa"/>
        <w:right w:w="0" w:type="dxa"/>
      </w:tblCellMar>
    </w:tblPr>
  </w:style>
  <w:style w:type="paragraph" w:customStyle="1" w:styleId="Bb0">
    <w:name w:val="Bb"/>
    <w:basedOn w:val="aa"/>
    <w:link w:val="BbChar1"/>
    <w:rsid w:val="004505F1"/>
    <w:pPr>
      <w:spacing w:after="240" w:line="360" w:lineRule="auto"/>
      <w:ind w:firstLine="567"/>
      <w:jc w:val="lowKashida"/>
    </w:pPr>
    <w:rPr>
      <w:rFonts w:ascii="Times New Roman" w:hAnsi="Times New Roman" w:cs="Times New Roman"/>
      <w:sz w:val="30"/>
      <w:szCs w:val="28"/>
      <w:lang w:eastAsia="ar-SA" w:bidi="ar-EG"/>
    </w:rPr>
  </w:style>
  <w:style w:type="character" w:customStyle="1" w:styleId="BbChar1">
    <w:name w:val="Bb Char1"/>
    <w:basedOn w:val="a1"/>
    <w:link w:val="Bb0"/>
    <w:rsid w:val="004505F1"/>
    <w:rPr>
      <w:rFonts w:ascii="Times New Roman" w:eastAsia="Times New Roman" w:hAnsi="Times New Roman" w:cs="Times New Roman"/>
      <w:sz w:val="30"/>
      <w:szCs w:val="28"/>
      <w:lang w:eastAsia="ar-SA" w:bidi="ar-EG"/>
    </w:rPr>
  </w:style>
  <w:style w:type="character" w:customStyle="1" w:styleId="note">
    <w:name w:val="note"/>
    <w:basedOn w:val="a1"/>
    <w:rsid w:val="004505F1"/>
  </w:style>
  <w:style w:type="character" w:customStyle="1" w:styleId="missense">
    <w:name w:val="missense"/>
    <w:basedOn w:val="a1"/>
    <w:rsid w:val="004505F1"/>
  </w:style>
  <w:style w:type="character" w:customStyle="1" w:styleId="codon-ghost">
    <w:name w:val="codon-ghost"/>
    <w:basedOn w:val="a1"/>
    <w:rsid w:val="004505F1"/>
  </w:style>
  <w:style w:type="character" w:customStyle="1" w:styleId="cds-synon">
    <w:name w:val="cds-synon"/>
    <w:basedOn w:val="a1"/>
    <w:rsid w:val="004505F1"/>
  </w:style>
  <w:style w:type="character" w:customStyle="1" w:styleId="emphasistypebolditalic">
    <w:name w:val="emphasistypebolditalic"/>
    <w:basedOn w:val="a1"/>
    <w:rsid w:val="004505F1"/>
  </w:style>
  <w:style w:type="character" w:customStyle="1" w:styleId="A15">
    <w:name w:val="A15"/>
    <w:uiPriority w:val="99"/>
    <w:rsid w:val="004505F1"/>
    <w:rPr>
      <w:rFonts w:cs="Book Antiqua"/>
      <w:color w:val="000000"/>
      <w:sz w:val="21"/>
      <w:szCs w:val="21"/>
    </w:rPr>
  </w:style>
  <w:style w:type="table" w:customStyle="1" w:styleId="GridTable5Dark-Accent51">
    <w:name w:val="Grid Table 5 Dark - Accent 51"/>
    <w:basedOn w:val="a2"/>
    <w:uiPriority w:val="50"/>
    <w:rsid w:val="004505F1"/>
    <w:pPr>
      <w:bidi w:val="0"/>
      <w:spacing w:after="0" w:line="240" w:lineRule="auto"/>
    </w:pPr>
    <w:rPr>
      <w:rFonts w:cs="Arial"/>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90">
    <w:name w:val="A9"/>
    <w:uiPriority w:val="99"/>
    <w:rsid w:val="004505F1"/>
    <w:rPr>
      <w:rFonts w:cs="Times"/>
      <w:color w:val="000000"/>
      <w:sz w:val="14"/>
      <w:szCs w:val="14"/>
    </w:rPr>
  </w:style>
  <w:style w:type="character" w:customStyle="1" w:styleId="A70">
    <w:name w:val="A7"/>
    <w:uiPriority w:val="99"/>
    <w:rsid w:val="004505F1"/>
    <w:rPr>
      <w:rFonts w:cs="Times"/>
      <w:color w:val="000000"/>
      <w:sz w:val="16"/>
      <w:szCs w:val="16"/>
    </w:rPr>
  </w:style>
  <w:style w:type="character" w:customStyle="1" w:styleId="codon-plain">
    <w:name w:val="codon-plain"/>
    <w:basedOn w:val="a1"/>
    <w:rsid w:val="004505F1"/>
  </w:style>
  <w:style w:type="character" w:customStyle="1" w:styleId="codon-hilite">
    <w:name w:val="codon-hilite"/>
    <w:basedOn w:val="a1"/>
    <w:rsid w:val="004505F1"/>
  </w:style>
  <w:style w:type="table" w:styleId="3-4">
    <w:name w:val="Medium Grid 3 Accent 4"/>
    <w:basedOn w:val="a2"/>
    <w:uiPriority w:val="69"/>
    <w:rsid w:val="004505F1"/>
    <w:pPr>
      <w:bidi w:val="0"/>
      <w:spacing w:after="0" w:line="240" w:lineRule="auto"/>
    </w:pPr>
    <w:rPr>
      <w:rFonts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1">
    <w:name w:val="Medium Grid 3 Accent 1"/>
    <w:basedOn w:val="a2"/>
    <w:uiPriority w:val="69"/>
    <w:rsid w:val="004505F1"/>
    <w:pPr>
      <w:bidi w:val="0"/>
      <w:spacing w:after="0" w:line="240" w:lineRule="auto"/>
    </w:pPr>
    <w:rPr>
      <w:rFonts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customStyle="1" w:styleId="topic-highlight">
    <w:name w:val="topic-highlight"/>
    <w:basedOn w:val="a1"/>
    <w:rsid w:val="004505F1"/>
  </w:style>
  <w:style w:type="table" w:styleId="-1">
    <w:name w:val="Light Grid Accent 1"/>
    <w:basedOn w:val="a2"/>
    <w:uiPriority w:val="62"/>
    <w:rsid w:val="004505F1"/>
    <w:pPr>
      <w:bidi w:val="0"/>
      <w:spacing w:after="0" w:line="240" w:lineRule="auto"/>
    </w:pPr>
    <w:rPr>
      <w:rFonts w:cs="Arial"/>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0">
    <w:name w:val="Light Grid Accent 2"/>
    <w:basedOn w:val="a2"/>
    <w:uiPriority w:val="62"/>
    <w:rsid w:val="004505F1"/>
    <w:pPr>
      <w:bidi w:val="0"/>
      <w:spacing w:after="0" w:line="240" w:lineRule="auto"/>
    </w:pPr>
    <w:rPr>
      <w:rFonts w:cs="Arial"/>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5Dark-Accent61">
    <w:name w:val="Grid Table 5 Dark - Accent 61"/>
    <w:basedOn w:val="a2"/>
    <w:uiPriority w:val="50"/>
    <w:rsid w:val="004505F1"/>
    <w:pPr>
      <w:bidi w:val="0"/>
      <w:spacing w:after="0" w:line="240" w:lineRule="auto"/>
      <w:jc w:val="center"/>
    </w:pPr>
    <w:rPr>
      <w:rFonts w:ascii="Times New Roman" w:hAnsi="Times New Roman" w:cs="Arial"/>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vAlign w:val="center"/>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3-Accent61">
    <w:name w:val="Grid Table 3 - Accent 61"/>
    <w:basedOn w:val="a2"/>
    <w:uiPriority w:val="48"/>
    <w:rsid w:val="004505F1"/>
    <w:pPr>
      <w:bidi w:val="0"/>
      <w:spacing w:after="0" w:line="240" w:lineRule="auto"/>
    </w:pPr>
    <w:rPr>
      <w:rFonts w:cs="Arial"/>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e">
    <w:name w:val="Light Grid"/>
    <w:basedOn w:val="a2"/>
    <w:uiPriority w:val="62"/>
    <w:rsid w:val="004505F1"/>
    <w:pPr>
      <w:bidi w:val="0"/>
      <w:spacing w:after="0" w:line="240" w:lineRule="auto"/>
    </w:pPr>
    <w:rPr>
      <w:rFonts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it-source">
    <w:name w:val="cit-source"/>
    <w:basedOn w:val="a1"/>
    <w:rsid w:val="004505F1"/>
  </w:style>
  <w:style w:type="character" w:customStyle="1" w:styleId="cit-pub-date">
    <w:name w:val="cit-pub-date"/>
    <w:basedOn w:val="a1"/>
    <w:rsid w:val="004505F1"/>
  </w:style>
  <w:style w:type="table" w:customStyle="1" w:styleId="GridTable6Colorful-Accent61">
    <w:name w:val="Grid Table 6 Colorful - Accent 61"/>
    <w:basedOn w:val="a2"/>
    <w:uiPriority w:val="51"/>
    <w:rsid w:val="004505F1"/>
    <w:pPr>
      <w:bidi w:val="0"/>
      <w:spacing w:after="0" w:line="240" w:lineRule="auto"/>
    </w:pPr>
    <w:rPr>
      <w:rFonts w:cs="Arial"/>
      <w:color w:val="538135"/>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11">
    <w:name w:val="List Table 3 - Accent 11"/>
    <w:basedOn w:val="a2"/>
    <w:uiPriority w:val="48"/>
    <w:rsid w:val="004505F1"/>
    <w:pPr>
      <w:bidi w:val="0"/>
      <w:spacing w:after="0" w:line="240" w:lineRule="auto"/>
    </w:pPr>
    <w:rPr>
      <w:rFonts w:cs="Arial"/>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2-Accent11">
    <w:name w:val="List Table 2 - Accent 11"/>
    <w:basedOn w:val="a2"/>
    <w:uiPriority w:val="47"/>
    <w:rsid w:val="004505F1"/>
    <w:pPr>
      <w:bidi w:val="0"/>
      <w:spacing w:after="0" w:line="240" w:lineRule="auto"/>
    </w:pPr>
    <w:rPr>
      <w:rFonts w:cs="Arial"/>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1">
    <w:name w:val="Grid Table 6 Colorful - Accent 11"/>
    <w:basedOn w:val="a2"/>
    <w:uiPriority w:val="51"/>
    <w:rsid w:val="004505F1"/>
    <w:pPr>
      <w:bidi w:val="0"/>
      <w:spacing w:after="0" w:line="240" w:lineRule="auto"/>
    </w:pPr>
    <w:rPr>
      <w:rFonts w:cs="Arial"/>
      <w:color w:val="2E74B5"/>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0">
    <w:name w:val="Light List Accent 1"/>
    <w:basedOn w:val="a2"/>
    <w:uiPriority w:val="61"/>
    <w:rsid w:val="004505F1"/>
    <w:pPr>
      <w:bidi w:val="0"/>
      <w:spacing w:after="0" w:line="240" w:lineRule="auto"/>
    </w:pPr>
    <w:rPr>
      <w:rFonts w:cs="Arial"/>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mtext">
    <w:name w:val="mtext"/>
    <w:basedOn w:val="a1"/>
    <w:rsid w:val="004505F1"/>
  </w:style>
  <w:style w:type="character" w:customStyle="1" w:styleId="highwire-citation-authors">
    <w:name w:val="highwire-citation-authors"/>
    <w:basedOn w:val="a1"/>
    <w:rsid w:val="004505F1"/>
  </w:style>
  <w:style w:type="character" w:customStyle="1" w:styleId="highwire-citation-author">
    <w:name w:val="highwire-citation-author"/>
    <w:basedOn w:val="a1"/>
    <w:rsid w:val="004505F1"/>
  </w:style>
  <w:style w:type="character" w:customStyle="1" w:styleId="nlm-surname">
    <w:name w:val="nlm-surname"/>
    <w:basedOn w:val="a1"/>
    <w:rsid w:val="004505F1"/>
  </w:style>
  <w:style w:type="character" w:customStyle="1" w:styleId="citation-et">
    <w:name w:val="citation-et"/>
    <w:basedOn w:val="a1"/>
    <w:rsid w:val="004505F1"/>
  </w:style>
  <w:style w:type="character" w:customStyle="1" w:styleId="highwire-cite-metadata-journal">
    <w:name w:val="highwire-cite-metadata-journal"/>
    <w:basedOn w:val="a1"/>
    <w:rsid w:val="004505F1"/>
  </w:style>
  <w:style w:type="character" w:customStyle="1" w:styleId="highwire-cite-metadata-year">
    <w:name w:val="highwire-cite-metadata-year"/>
    <w:basedOn w:val="a1"/>
    <w:rsid w:val="004505F1"/>
  </w:style>
  <w:style w:type="character" w:customStyle="1" w:styleId="highwire-cite-metadata-volume">
    <w:name w:val="highwire-cite-metadata-volume"/>
    <w:basedOn w:val="a1"/>
    <w:rsid w:val="004505F1"/>
  </w:style>
  <w:style w:type="character" w:customStyle="1" w:styleId="highwire-cite-metadata-elocation-id">
    <w:name w:val="highwire-cite-metadata-elocation-id"/>
    <w:basedOn w:val="a1"/>
    <w:rsid w:val="004505F1"/>
  </w:style>
  <w:style w:type="character" w:customStyle="1" w:styleId="highwire-cite-metadata-doi">
    <w:name w:val="highwire-cite-metadata-doi"/>
    <w:basedOn w:val="a1"/>
    <w:rsid w:val="004505F1"/>
  </w:style>
  <w:style w:type="table" w:customStyle="1" w:styleId="GridTable1Light-Accent21">
    <w:name w:val="Grid Table 1 Light - Accent 21"/>
    <w:basedOn w:val="a2"/>
    <w:uiPriority w:val="46"/>
    <w:rsid w:val="004505F1"/>
    <w:pPr>
      <w:bidi w:val="0"/>
      <w:spacing w:after="0" w:line="240" w:lineRule="auto"/>
    </w:pPr>
    <w:rPr>
      <w:rFonts w:cs="Arial"/>
      <w:sz w:val="20"/>
      <w:szCs w:val="20"/>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6Colorful-Accent21">
    <w:name w:val="Grid Table 6 Colorful - Accent 21"/>
    <w:basedOn w:val="a2"/>
    <w:uiPriority w:val="51"/>
    <w:rsid w:val="004505F1"/>
    <w:pPr>
      <w:bidi w:val="0"/>
      <w:spacing w:after="0" w:line="240" w:lineRule="auto"/>
    </w:pPr>
    <w:rPr>
      <w:rFonts w:cs="Arial"/>
      <w:color w:val="943634" w:themeColor="accent2" w:themeShade="BF"/>
      <w:sz w:val="20"/>
      <w:szCs w:val="20"/>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a">
    <w:name w:val="List Bullet"/>
    <w:basedOn w:val="a0"/>
    <w:uiPriority w:val="99"/>
    <w:unhideWhenUsed/>
    <w:rsid w:val="004505F1"/>
    <w:pPr>
      <w:numPr>
        <w:numId w:val="1"/>
      </w:numPr>
      <w:spacing w:after="160" w:line="259" w:lineRule="auto"/>
      <w:contextualSpacing/>
    </w:pPr>
    <w:rPr>
      <w:rFonts w:cs="Arial"/>
    </w:rPr>
  </w:style>
  <w:style w:type="character" w:customStyle="1" w:styleId="ref">
    <w:name w:val="ref"/>
    <w:basedOn w:val="a1"/>
    <w:rsid w:val="004505F1"/>
    <w:rPr>
      <w:b/>
      <w:sz w:val="30"/>
    </w:rPr>
  </w:style>
  <w:style w:type="paragraph" w:customStyle="1" w:styleId="hh1">
    <w:name w:val="hh1"/>
    <w:basedOn w:val="1"/>
    <w:rsid w:val="004505F1"/>
    <w:pPr>
      <w:keepLines w:val="0"/>
      <w:pageBreakBefore/>
      <w:bidi w:val="0"/>
      <w:spacing w:before="0" w:line="360" w:lineRule="auto"/>
      <w:jc w:val="center"/>
    </w:pPr>
    <w:rPr>
      <w:rFonts w:ascii="Times New Roman" w:eastAsia="Times New Roman" w:hAnsi="Times New Roman" w:cs="Times New Roman"/>
      <w:bCs/>
      <w:noProof/>
      <w:kern w:val="32"/>
      <w:sz w:val="54"/>
      <w:szCs w:val="40"/>
      <w:lang w:eastAsia="ar-SA"/>
    </w:rPr>
  </w:style>
  <w:style w:type="character" w:customStyle="1" w:styleId="element-citation">
    <w:name w:val="element-citation"/>
    <w:basedOn w:val="a1"/>
    <w:rsid w:val="004505F1"/>
  </w:style>
  <w:style w:type="paragraph" w:customStyle="1" w:styleId="Bb14">
    <w:name w:val="نمط Bb + ‏14 نقطة أسود عريض"/>
    <w:basedOn w:val="Bb0"/>
    <w:link w:val="Bb14Char"/>
    <w:rsid w:val="004505F1"/>
    <w:rPr>
      <w:b/>
      <w:bCs/>
    </w:rPr>
  </w:style>
  <w:style w:type="character" w:customStyle="1" w:styleId="Bb14Char">
    <w:name w:val="نمط Bb + ‏14 نقطة أسود عريض Char"/>
    <w:basedOn w:val="BbChar1"/>
    <w:link w:val="Bb14"/>
    <w:rsid w:val="004505F1"/>
    <w:rPr>
      <w:rFonts w:ascii="Times New Roman" w:eastAsia="Times New Roman" w:hAnsi="Times New Roman" w:cs="Times New Roman"/>
      <w:b/>
      <w:bCs/>
      <w:sz w:val="30"/>
      <w:szCs w:val="28"/>
      <w:lang w:eastAsia="ar-SA" w:bidi="ar-EG"/>
    </w:rPr>
  </w:style>
  <w:style w:type="character" w:customStyle="1" w:styleId="docsum-journal-citation">
    <w:name w:val="docsum-journal-citation"/>
    <w:basedOn w:val="a1"/>
    <w:rsid w:val="004505F1"/>
  </w:style>
  <w:style w:type="character" w:customStyle="1" w:styleId="cit">
    <w:name w:val="cit"/>
    <w:basedOn w:val="a1"/>
    <w:rsid w:val="004505F1"/>
  </w:style>
  <w:style w:type="character" w:customStyle="1" w:styleId="citedissue">
    <w:name w:val="citedissue"/>
    <w:basedOn w:val="a1"/>
    <w:rsid w:val="004505F1"/>
  </w:style>
  <w:style w:type="character" w:customStyle="1" w:styleId="bullet">
    <w:name w:val="bullet"/>
    <w:basedOn w:val="a1"/>
    <w:rsid w:val="004505F1"/>
  </w:style>
  <w:style w:type="character" w:customStyle="1" w:styleId="metadata--source-title">
    <w:name w:val="metadata--source-title"/>
    <w:basedOn w:val="a1"/>
    <w:rsid w:val="004505F1"/>
  </w:style>
  <w:style w:type="paragraph" w:customStyle="1" w:styleId="volume-issue">
    <w:name w:val="volume-issue"/>
    <w:basedOn w:val="a0"/>
    <w:rsid w:val="004505F1"/>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0">
    <w:name w:val="Table Grid110"/>
    <w:basedOn w:val="a2"/>
    <w:next w:val="a5"/>
    <w:uiPriority w:val="59"/>
    <w:rsid w:val="00FB3ACA"/>
    <w:pPr>
      <w:bidi w:val="0"/>
      <w:spacing w:after="0" w:line="240" w:lineRule="auto"/>
    </w:pPr>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iss">
    <w:name w:val="ref-iss"/>
    <w:basedOn w:val="a1"/>
    <w:rsid w:val="00223467"/>
  </w:style>
  <w:style w:type="table" w:customStyle="1" w:styleId="TableGrid21">
    <w:name w:val="Table Grid21"/>
    <w:basedOn w:val="a2"/>
    <w:next w:val="a5"/>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2"/>
    <w:next w:val="a5"/>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2"/>
    <w:next w:val="a5"/>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2"/>
    <w:next w:val="a5"/>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2"/>
    <w:next w:val="a5"/>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2"/>
    <w:next w:val="a5"/>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2"/>
    <w:next w:val="a5"/>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2"/>
    <w:next w:val="a5"/>
    <w:uiPriority w:val="59"/>
    <w:rsid w:val="00842167"/>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snote">
    <w:name w:val="references__note"/>
    <w:basedOn w:val="a1"/>
    <w:rsid w:val="008C3AEA"/>
  </w:style>
  <w:style w:type="character" w:customStyle="1" w:styleId="referencesarticle-title">
    <w:name w:val="references__article-title"/>
    <w:basedOn w:val="a1"/>
    <w:rsid w:val="008C3AEA"/>
  </w:style>
  <w:style w:type="character" w:customStyle="1" w:styleId="referencesyear">
    <w:name w:val="references__year"/>
    <w:basedOn w:val="a1"/>
    <w:rsid w:val="008C3AEA"/>
  </w:style>
  <w:style w:type="table" w:customStyle="1" w:styleId="TableGrid29">
    <w:name w:val="Table Grid29"/>
    <w:basedOn w:val="a2"/>
    <w:next w:val="a5"/>
    <w:uiPriority w:val="59"/>
    <w:rsid w:val="000A4F1B"/>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
    <w:name w:val="Table Grid30"/>
    <w:basedOn w:val="a2"/>
    <w:next w:val="a5"/>
    <w:uiPriority w:val="59"/>
    <w:rsid w:val="00D30902"/>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a2"/>
    <w:next w:val="a5"/>
    <w:uiPriority w:val="59"/>
    <w:rsid w:val="009E282D"/>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
    <w:name w:val="Table Grid34"/>
    <w:basedOn w:val="a2"/>
    <w:next w:val="a5"/>
    <w:uiPriority w:val="59"/>
    <w:rsid w:val="00E0464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
    <w:name w:val="Table Grid35"/>
    <w:basedOn w:val="a2"/>
    <w:next w:val="a5"/>
    <w:uiPriority w:val="59"/>
    <w:rsid w:val="00A46E00"/>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
    <w:name w:val="Table Grid36"/>
    <w:basedOn w:val="a2"/>
    <w:next w:val="a5"/>
    <w:uiPriority w:val="59"/>
    <w:rsid w:val="005C63B4"/>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basedOn w:val="a2"/>
    <w:next w:val="a5"/>
    <w:uiPriority w:val="59"/>
    <w:rsid w:val="00685CB6"/>
    <w:pPr>
      <w:bidi w:val="0"/>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2"/>
    <w:next w:val="a5"/>
    <w:uiPriority w:val="59"/>
    <w:rsid w:val="005A3EC6"/>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2"/>
    <w:next w:val="a5"/>
    <w:uiPriority w:val="59"/>
    <w:rsid w:val="005A3EC6"/>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2"/>
    <w:next w:val="a5"/>
    <w:uiPriority w:val="59"/>
    <w:rsid w:val="005A3EC6"/>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1">
    <w:name w:val="Plain Table 111"/>
    <w:basedOn w:val="a2"/>
    <w:next w:val="PlainTable14"/>
    <w:uiPriority w:val="41"/>
    <w:rsid w:val="000359BC"/>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2">
    <w:name w:val="Plain Table 112"/>
    <w:basedOn w:val="a2"/>
    <w:next w:val="PlainTable14"/>
    <w:uiPriority w:val="41"/>
    <w:rsid w:val="000359BC"/>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3">
    <w:name w:val="Plain Table 113"/>
    <w:basedOn w:val="a2"/>
    <w:next w:val="PlainTable14"/>
    <w:uiPriority w:val="41"/>
    <w:rsid w:val="000359BC"/>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4">
    <w:name w:val="Plain Table 114"/>
    <w:basedOn w:val="a2"/>
    <w:next w:val="PlainTable14"/>
    <w:uiPriority w:val="41"/>
    <w:rsid w:val="000359BC"/>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5">
    <w:name w:val="Plain Table 115"/>
    <w:basedOn w:val="a2"/>
    <w:next w:val="PlainTable14"/>
    <w:uiPriority w:val="41"/>
    <w:rsid w:val="000359BC"/>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6">
    <w:name w:val="Plain Table 116"/>
    <w:basedOn w:val="a2"/>
    <w:next w:val="PlainTable14"/>
    <w:uiPriority w:val="41"/>
    <w:rsid w:val="000359BC"/>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EndNoteBibliography">
    <w:name w:val="EndNote Bibliography"/>
    <w:basedOn w:val="a0"/>
    <w:link w:val="EndNoteBibliographyChar"/>
    <w:rsid w:val="00674804"/>
    <w:pPr>
      <w:bidi w:val="0"/>
      <w:spacing w:line="240" w:lineRule="auto"/>
    </w:pPr>
    <w:rPr>
      <w:rFonts w:eastAsiaTheme="minorEastAsia"/>
      <w:noProof/>
    </w:rPr>
  </w:style>
  <w:style w:type="character" w:customStyle="1" w:styleId="EndNoteBibliographyChar">
    <w:name w:val="EndNote Bibliography Char"/>
    <w:basedOn w:val="a1"/>
    <w:link w:val="EndNoteBibliography"/>
    <w:rsid w:val="00674804"/>
    <w:rPr>
      <w:rFonts w:eastAsiaTheme="minorEastAsia"/>
      <w:noProof/>
    </w:rPr>
  </w:style>
  <w:style w:type="table" w:customStyle="1" w:styleId="10">
    <w:name w:val="شبكة جدول1"/>
    <w:basedOn w:val="a2"/>
    <w:next w:val="a5"/>
    <w:uiPriority w:val="39"/>
    <w:rsid w:val="00352EF8"/>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2"/>
    <w:next w:val="a5"/>
    <w:uiPriority w:val="39"/>
    <w:rsid w:val="00A71A88"/>
    <w:pPr>
      <w:bidi w:val="0"/>
      <w:spacing w:after="0" w:line="240" w:lineRule="auto"/>
    </w:pPr>
    <w:rPr>
      <w:rFonts w:eastAsia="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
    <w:name w:val="Table Grid38"/>
    <w:basedOn w:val="a2"/>
    <w:next w:val="a5"/>
    <w:uiPriority w:val="39"/>
    <w:rsid w:val="00A71A88"/>
    <w:pPr>
      <w:bidi w:val="0"/>
      <w:spacing w:after="0" w:line="240" w:lineRule="auto"/>
    </w:pPr>
    <w:rPr>
      <w:rFonts w:eastAsia="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
    <w:name w:val="Table Grid39"/>
    <w:basedOn w:val="a2"/>
    <w:next w:val="a5"/>
    <w:uiPriority w:val="39"/>
    <w:rsid w:val="00A776EC"/>
    <w:pPr>
      <w:bidi w:val="0"/>
      <w:spacing w:after="0" w:line="240" w:lineRule="auto"/>
    </w:pPr>
    <w:rPr>
      <w:rFonts w:eastAsia="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wrap">
    <w:name w:val="nowrap"/>
    <w:basedOn w:val="a1"/>
    <w:rsid w:val="00CE1175"/>
  </w:style>
  <w:style w:type="table" w:styleId="-3">
    <w:name w:val="Light Grid Accent 3"/>
    <w:basedOn w:val="a2"/>
    <w:uiPriority w:val="62"/>
    <w:rsid w:val="007C33C2"/>
    <w:pPr>
      <w:bidi w:val="0"/>
      <w:spacing w:after="0" w:line="240" w:lineRule="auto"/>
    </w:pPr>
    <w:rPr>
      <w:rFonts w:asciiTheme="minorHAnsi" w:eastAsiaTheme="minorHAnsi" w:hAnsiTheme="minorHAnsi" w:cstheme="minorBid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referencescopy1">
    <w:name w:val="referencescopy1"/>
    <w:basedOn w:val="a0"/>
    <w:rsid w:val="007668B2"/>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1">
    <w:name w:val="Table Normal11"/>
    <w:uiPriority w:val="2"/>
    <w:semiHidden/>
    <w:unhideWhenUsed/>
    <w:qFormat/>
    <w:rsid w:val="00497506"/>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97506"/>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497506"/>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97506"/>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97506"/>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Grid112">
    <w:name w:val="Table Grid112"/>
    <w:basedOn w:val="a2"/>
    <w:uiPriority w:val="39"/>
    <w:rsid w:val="001116FA"/>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a2"/>
    <w:next w:val="a5"/>
    <w:uiPriority w:val="39"/>
    <w:rsid w:val="001116FA"/>
    <w:pPr>
      <w:bidi w:val="0"/>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j-keyword">
    <w:name w:val="ej-keyword"/>
    <w:basedOn w:val="a1"/>
    <w:rsid w:val="00566E7C"/>
  </w:style>
  <w:style w:type="character" w:styleId="HTML">
    <w:name w:val="HTML Cite"/>
    <w:basedOn w:val="a1"/>
    <w:uiPriority w:val="99"/>
    <w:semiHidden/>
    <w:unhideWhenUsed/>
    <w:rsid w:val="00566E7C"/>
    <w:rPr>
      <w:i/>
      <w:iCs/>
    </w:rPr>
  </w:style>
  <w:style w:type="character" w:customStyle="1" w:styleId="journaltitle4">
    <w:name w:val="journaltitle4"/>
    <w:basedOn w:val="a1"/>
    <w:rsid w:val="00566E7C"/>
    <w:rPr>
      <w:i/>
      <w:iCs/>
    </w:rPr>
  </w:style>
  <w:style w:type="character" w:customStyle="1" w:styleId="vol3">
    <w:name w:val="vol3"/>
    <w:basedOn w:val="a1"/>
    <w:rsid w:val="00566E7C"/>
    <w:rPr>
      <w:b/>
      <w:bCs/>
    </w:rPr>
  </w:style>
  <w:style w:type="paragraph" w:styleId="afff">
    <w:name w:val="Body Text Indent"/>
    <w:basedOn w:val="a0"/>
    <w:link w:val="Chare"/>
    <w:uiPriority w:val="99"/>
    <w:semiHidden/>
    <w:unhideWhenUsed/>
    <w:rsid w:val="00482E8E"/>
    <w:pPr>
      <w:spacing w:after="120"/>
      <w:ind w:left="283"/>
    </w:pPr>
  </w:style>
  <w:style w:type="character" w:customStyle="1" w:styleId="Chare">
    <w:name w:val="نص أساسي بمسافة بادئة Char"/>
    <w:basedOn w:val="a1"/>
    <w:link w:val="afff"/>
    <w:uiPriority w:val="99"/>
    <w:semiHidden/>
    <w:rsid w:val="00482E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2705">
      <w:bodyDiv w:val="1"/>
      <w:marLeft w:val="0"/>
      <w:marRight w:val="0"/>
      <w:marTop w:val="0"/>
      <w:marBottom w:val="0"/>
      <w:divBdr>
        <w:top w:val="none" w:sz="0" w:space="0" w:color="auto"/>
        <w:left w:val="none" w:sz="0" w:space="0" w:color="auto"/>
        <w:bottom w:val="none" w:sz="0" w:space="0" w:color="auto"/>
        <w:right w:val="none" w:sz="0" w:space="0" w:color="auto"/>
      </w:divBdr>
    </w:div>
    <w:div w:id="53548410">
      <w:bodyDiv w:val="1"/>
      <w:marLeft w:val="0"/>
      <w:marRight w:val="0"/>
      <w:marTop w:val="0"/>
      <w:marBottom w:val="0"/>
      <w:divBdr>
        <w:top w:val="none" w:sz="0" w:space="0" w:color="auto"/>
        <w:left w:val="none" w:sz="0" w:space="0" w:color="auto"/>
        <w:bottom w:val="none" w:sz="0" w:space="0" w:color="auto"/>
        <w:right w:val="none" w:sz="0" w:space="0" w:color="auto"/>
      </w:divBdr>
    </w:div>
    <w:div w:id="55393739">
      <w:bodyDiv w:val="1"/>
      <w:marLeft w:val="0"/>
      <w:marRight w:val="0"/>
      <w:marTop w:val="0"/>
      <w:marBottom w:val="0"/>
      <w:divBdr>
        <w:top w:val="none" w:sz="0" w:space="0" w:color="auto"/>
        <w:left w:val="none" w:sz="0" w:space="0" w:color="auto"/>
        <w:bottom w:val="none" w:sz="0" w:space="0" w:color="auto"/>
        <w:right w:val="none" w:sz="0" w:space="0" w:color="auto"/>
      </w:divBdr>
    </w:div>
    <w:div w:id="170753777">
      <w:bodyDiv w:val="1"/>
      <w:marLeft w:val="0"/>
      <w:marRight w:val="0"/>
      <w:marTop w:val="0"/>
      <w:marBottom w:val="0"/>
      <w:divBdr>
        <w:top w:val="none" w:sz="0" w:space="0" w:color="auto"/>
        <w:left w:val="none" w:sz="0" w:space="0" w:color="auto"/>
        <w:bottom w:val="none" w:sz="0" w:space="0" w:color="auto"/>
        <w:right w:val="none" w:sz="0" w:space="0" w:color="auto"/>
      </w:divBdr>
    </w:div>
    <w:div w:id="173497783">
      <w:bodyDiv w:val="1"/>
      <w:marLeft w:val="0"/>
      <w:marRight w:val="0"/>
      <w:marTop w:val="0"/>
      <w:marBottom w:val="0"/>
      <w:divBdr>
        <w:top w:val="none" w:sz="0" w:space="0" w:color="auto"/>
        <w:left w:val="none" w:sz="0" w:space="0" w:color="auto"/>
        <w:bottom w:val="none" w:sz="0" w:space="0" w:color="auto"/>
        <w:right w:val="none" w:sz="0" w:space="0" w:color="auto"/>
      </w:divBdr>
    </w:div>
    <w:div w:id="230579047">
      <w:bodyDiv w:val="1"/>
      <w:marLeft w:val="0"/>
      <w:marRight w:val="0"/>
      <w:marTop w:val="0"/>
      <w:marBottom w:val="0"/>
      <w:divBdr>
        <w:top w:val="none" w:sz="0" w:space="0" w:color="auto"/>
        <w:left w:val="none" w:sz="0" w:space="0" w:color="auto"/>
        <w:bottom w:val="none" w:sz="0" w:space="0" w:color="auto"/>
        <w:right w:val="none" w:sz="0" w:space="0" w:color="auto"/>
      </w:divBdr>
    </w:div>
    <w:div w:id="231354458">
      <w:bodyDiv w:val="1"/>
      <w:marLeft w:val="0"/>
      <w:marRight w:val="0"/>
      <w:marTop w:val="0"/>
      <w:marBottom w:val="0"/>
      <w:divBdr>
        <w:top w:val="none" w:sz="0" w:space="0" w:color="auto"/>
        <w:left w:val="none" w:sz="0" w:space="0" w:color="auto"/>
        <w:bottom w:val="none" w:sz="0" w:space="0" w:color="auto"/>
        <w:right w:val="none" w:sz="0" w:space="0" w:color="auto"/>
      </w:divBdr>
    </w:div>
    <w:div w:id="269554274">
      <w:bodyDiv w:val="1"/>
      <w:marLeft w:val="0"/>
      <w:marRight w:val="0"/>
      <w:marTop w:val="0"/>
      <w:marBottom w:val="0"/>
      <w:divBdr>
        <w:top w:val="none" w:sz="0" w:space="0" w:color="auto"/>
        <w:left w:val="none" w:sz="0" w:space="0" w:color="auto"/>
        <w:bottom w:val="none" w:sz="0" w:space="0" w:color="auto"/>
        <w:right w:val="none" w:sz="0" w:space="0" w:color="auto"/>
      </w:divBdr>
    </w:div>
    <w:div w:id="309944021">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5453788">
      <w:bodyDiv w:val="1"/>
      <w:marLeft w:val="0"/>
      <w:marRight w:val="0"/>
      <w:marTop w:val="0"/>
      <w:marBottom w:val="0"/>
      <w:divBdr>
        <w:top w:val="none" w:sz="0" w:space="0" w:color="auto"/>
        <w:left w:val="none" w:sz="0" w:space="0" w:color="auto"/>
        <w:bottom w:val="none" w:sz="0" w:space="0" w:color="auto"/>
        <w:right w:val="none" w:sz="0" w:space="0" w:color="auto"/>
      </w:divBdr>
    </w:div>
    <w:div w:id="392200137">
      <w:bodyDiv w:val="1"/>
      <w:marLeft w:val="0"/>
      <w:marRight w:val="0"/>
      <w:marTop w:val="0"/>
      <w:marBottom w:val="0"/>
      <w:divBdr>
        <w:top w:val="none" w:sz="0" w:space="0" w:color="auto"/>
        <w:left w:val="none" w:sz="0" w:space="0" w:color="auto"/>
        <w:bottom w:val="none" w:sz="0" w:space="0" w:color="auto"/>
        <w:right w:val="none" w:sz="0" w:space="0" w:color="auto"/>
      </w:divBdr>
    </w:div>
    <w:div w:id="415634211">
      <w:bodyDiv w:val="1"/>
      <w:marLeft w:val="0"/>
      <w:marRight w:val="0"/>
      <w:marTop w:val="0"/>
      <w:marBottom w:val="0"/>
      <w:divBdr>
        <w:top w:val="none" w:sz="0" w:space="0" w:color="auto"/>
        <w:left w:val="none" w:sz="0" w:space="0" w:color="auto"/>
        <w:bottom w:val="none" w:sz="0" w:space="0" w:color="auto"/>
        <w:right w:val="none" w:sz="0" w:space="0" w:color="auto"/>
      </w:divBdr>
    </w:div>
    <w:div w:id="444347016">
      <w:bodyDiv w:val="1"/>
      <w:marLeft w:val="0"/>
      <w:marRight w:val="0"/>
      <w:marTop w:val="0"/>
      <w:marBottom w:val="0"/>
      <w:divBdr>
        <w:top w:val="none" w:sz="0" w:space="0" w:color="auto"/>
        <w:left w:val="none" w:sz="0" w:space="0" w:color="auto"/>
        <w:bottom w:val="none" w:sz="0" w:space="0" w:color="auto"/>
        <w:right w:val="none" w:sz="0" w:space="0" w:color="auto"/>
      </w:divBdr>
    </w:div>
    <w:div w:id="477456827">
      <w:bodyDiv w:val="1"/>
      <w:marLeft w:val="0"/>
      <w:marRight w:val="0"/>
      <w:marTop w:val="0"/>
      <w:marBottom w:val="0"/>
      <w:divBdr>
        <w:top w:val="none" w:sz="0" w:space="0" w:color="auto"/>
        <w:left w:val="none" w:sz="0" w:space="0" w:color="auto"/>
        <w:bottom w:val="none" w:sz="0" w:space="0" w:color="auto"/>
        <w:right w:val="none" w:sz="0" w:space="0" w:color="auto"/>
      </w:divBdr>
    </w:div>
    <w:div w:id="660087355">
      <w:bodyDiv w:val="1"/>
      <w:marLeft w:val="0"/>
      <w:marRight w:val="0"/>
      <w:marTop w:val="0"/>
      <w:marBottom w:val="0"/>
      <w:divBdr>
        <w:top w:val="none" w:sz="0" w:space="0" w:color="auto"/>
        <w:left w:val="none" w:sz="0" w:space="0" w:color="auto"/>
        <w:bottom w:val="none" w:sz="0" w:space="0" w:color="auto"/>
        <w:right w:val="none" w:sz="0" w:space="0" w:color="auto"/>
      </w:divBdr>
    </w:div>
    <w:div w:id="926311460">
      <w:bodyDiv w:val="1"/>
      <w:marLeft w:val="0"/>
      <w:marRight w:val="0"/>
      <w:marTop w:val="0"/>
      <w:marBottom w:val="0"/>
      <w:divBdr>
        <w:top w:val="none" w:sz="0" w:space="0" w:color="auto"/>
        <w:left w:val="none" w:sz="0" w:space="0" w:color="auto"/>
        <w:bottom w:val="none" w:sz="0" w:space="0" w:color="auto"/>
        <w:right w:val="none" w:sz="0" w:space="0" w:color="auto"/>
      </w:divBdr>
    </w:div>
    <w:div w:id="1123421186">
      <w:bodyDiv w:val="1"/>
      <w:marLeft w:val="0"/>
      <w:marRight w:val="0"/>
      <w:marTop w:val="0"/>
      <w:marBottom w:val="0"/>
      <w:divBdr>
        <w:top w:val="none" w:sz="0" w:space="0" w:color="auto"/>
        <w:left w:val="none" w:sz="0" w:space="0" w:color="auto"/>
        <w:bottom w:val="none" w:sz="0" w:space="0" w:color="auto"/>
        <w:right w:val="none" w:sz="0" w:space="0" w:color="auto"/>
      </w:divBdr>
    </w:div>
    <w:div w:id="1290168114">
      <w:bodyDiv w:val="1"/>
      <w:marLeft w:val="0"/>
      <w:marRight w:val="0"/>
      <w:marTop w:val="0"/>
      <w:marBottom w:val="0"/>
      <w:divBdr>
        <w:top w:val="none" w:sz="0" w:space="0" w:color="auto"/>
        <w:left w:val="none" w:sz="0" w:space="0" w:color="auto"/>
        <w:bottom w:val="none" w:sz="0" w:space="0" w:color="auto"/>
        <w:right w:val="none" w:sz="0" w:space="0" w:color="auto"/>
      </w:divBdr>
    </w:div>
    <w:div w:id="1407875167">
      <w:bodyDiv w:val="1"/>
      <w:marLeft w:val="0"/>
      <w:marRight w:val="0"/>
      <w:marTop w:val="0"/>
      <w:marBottom w:val="0"/>
      <w:divBdr>
        <w:top w:val="none" w:sz="0" w:space="0" w:color="auto"/>
        <w:left w:val="none" w:sz="0" w:space="0" w:color="auto"/>
        <w:bottom w:val="none" w:sz="0" w:space="0" w:color="auto"/>
        <w:right w:val="none" w:sz="0" w:space="0" w:color="auto"/>
      </w:divBdr>
    </w:div>
    <w:div w:id="1462452902">
      <w:bodyDiv w:val="1"/>
      <w:marLeft w:val="0"/>
      <w:marRight w:val="0"/>
      <w:marTop w:val="0"/>
      <w:marBottom w:val="0"/>
      <w:divBdr>
        <w:top w:val="none" w:sz="0" w:space="0" w:color="auto"/>
        <w:left w:val="none" w:sz="0" w:space="0" w:color="auto"/>
        <w:bottom w:val="none" w:sz="0" w:space="0" w:color="auto"/>
        <w:right w:val="none" w:sz="0" w:space="0" w:color="auto"/>
      </w:divBdr>
    </w:div>
    <w:div w:id="1524637237">
      <w:bodyDiv w:val="1"/>
      <w:marLeft w:val="0"/>
      <w:marRight w:val="0"/>
      <w:marTop w:val="0"/>
      <w:marBottom w:val="0"/>
      <w:divBdr>
        <w:top w:val="none" w:sz="0" w:space="0" w:color="auto"/>
        <w:left w:val="none" w:sz="0" w:space="0" w:color="auto"/>
        <w:bottom w:val="none" w:sz="0" w:space="0" w:color="auto"/>
        <w:right w:val="none" w:sz="0" w:space="0" w:color="auto"/>
      </w:divBdr>
    </w:div>
    <w:div w:id="1630475152">
      <w:bodyDiv w:val="1"/>
      <w:marLeft w:val="0"/>
      <w:marRight w:val="0"/>
      <w:marTop w:val="0"/>
      <w:marBottom w:val="0"/>
      <w:divBdr>
        <w:top w:val="none" w:sz="0" w:space="0" w:color="auto"/>
        <w:left w:val="none" w:sz="0" w:space="0" w:color="auto"/>
        <w:bottom w:val="none" w:sz="0" w:space="0" w:color="auto"/>
        <w:right w:val="none" w:sz="0" w:space="0" w:color="auto"/>
      </w:divBdr>
    </w:div>
    <w:div w:id="1852330822">
      <w:bodyDiv w:val="1"/>
      <w:marLeft w:val="0"/>
      <w:marRight w:val="0"/>
      <w:marTop w:val="0"/>
      <w:marBottom w:val="0"/>
      <w:divBdr>
        <w:top w:val="none" w:sz="0" w:space="0" w:color="auto"/>
        <w:left w:val="none" w:sz="0" w:space="0" w:color="auto"/>
        <w:bottom w:val="none" w:sz="0" w:space="0" w:color="auto"/>
        <w:right w:val="none" w:sz="0" w:space="0" w:color="auto"/>
      </w:divBdr>
    </w:div>
    <w:div w:id="2089961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824A3-B2D9-4E28-A088-8F88CD17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11</Pages>
  <Words>4649</Words>
  <Characters>26502</Characters>
  <Application>Microsoft Office Word</Application>
  <DocSecurity>0</DocSecurity>
  <Lines>220</Lines>
  <Paragraphs>62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COMPUMAGIC</dc:creator>
  <cp:lastModifiedBy>Windows User</cp:lastModifiedBy>
  <cp:revision>719</cp:revision>
  <cp:lastPrinted>2022-09-27T05:36:00Z</cp:lastPrinted>
  <dcterms:created xsi:type="dcterms:W3CDTF">2019-07-16T09:15:00Z</dcterms:created>
  <dcterms:modified xsi:type="dcterms:W3CDTF">2022-09-27T05:36:00Z</dcterms:modified>
</cp:coreProperties>
</file>